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80" w:before="2880"/>
        <w:jc w:val="center"/>
      </w:pPr>
      <w:r>
        <w:rPr>
          <w:rFonts w:ascii="Arial" w:cs="Arial" w:eastAsia="Arial" w:hAnsi="Arial"/>
          <w:b/>
          <w:bCs/>
          <w:color w:val="1F4E79"/>
          <w:sz w:val="56"/>
          <w:szCs w:val="56"/>
        </w:rPr>
        <w:t xml:space="preserve">[Company Name]</w:t>
      </w:r>
    </w:p>
    <w:p>
      <w:pPr>
        <w:spacing w:after="240" w:before="0"/>
        <w:jc w:val="center"/>
      </w:pPr>
      <w:r>
        <w:rPr>
          <w:rFonts w:ascii="Arial" w:cs="Arial" w:eastAsia="Arial" w:hAnsi="Arial"/>
          <w:b/>
          <w:bCs/>
          <w:color w:val="2E75B6"/>
          <w:sz w:val="40"/>
          <w:szCs w:val="40"/>
        </w:rPr>
        <w:t xml:space="preserve">System Security Plan (SSP)</w:t>
      </w:r>
    </w:p>
    <w:p>
      <w:pPr>
        <w:spacing w:after="120" w:before="0"/>
        <w:jc w:val="center"/>
      </w:pPr>
      <w:r>
        <w:rPr>
          <w:rFonts w:ascii="Arial" w:cs="Arial" w:eastAsia="Arial" w:hAnsi="Arial"/>
          <w:color w:val="595959"/>
          <w:sz w:val="28"/>
          <w:szCs w:val="28"/>
        </w:rPr>
        <w:t xml:space="preserve">CMMC Level 1 — FCI Environment</w:t>
      </w:r>
    </w:p>
    <w:p>
      <w:pPr>
        <w:spacing w:after="60" w:before="60"/>
      </w:pPr>
      <w:r>
        <w:t xml:space="preserve"/>
      </w:r>
    </w:p>
    <w:tbl>
      <w:tblPr>
        <w:tblW w:type="dxa" w:w="6000"/>
        <w:tblBorders>
          <w:top w:val="single" w:color="auto" w:sz="4"/>
          <w:left w:val="single" w:color="auto" w:sz="4"/>
          <w:bottom w:val="single" w:color="auto" w:sz="4"/>
          <w:right w:val="single" w:color="auto" w:sz="4"/>
          <w:insideH w:val="single" w:color="auto" w:sz="4"/>
          <w:insideV w:val="single" w:color="auto" w:sz="4"/>
        </w:tblBorders>
      </w:tblPr>
      <w:tblGrid>
        <w:gridCol w:w="2400"/>
        <w:gridCol w:w="3600"/>
      </w:tblGrid>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Document Number: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[COMPANY]-FCI-SSP-001</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Version: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1.0</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Effective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[Month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Next Review Date: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[Month Year + 1 Year]</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Classification:</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Internal Use Only</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IS Security Manager: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 Title, Email, Phone]</w:t>
            </w:r>
          </w:p>
        </w:tc>
      </w:tr>
      <w:tr>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bCs/>
                <w:color w:val="000000"/>
                <w:sz w:val="20"/>
                <w:szCs w:val="20"/>
              </w:rPr>
              <w:t xml:space="preserve">System Owner:</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 Title]</w:t>
            </w:r>
          </w:p>
        </w:tc>
      </w:tr>
    </w:tbl>
    <w:p>
      <w:r>
        <w:br/>
      </w:r>
    </w:p>
    <w:p>
      <w:pPr>
        <w:pStyle w:val="Heading1"/>
        <w:spacing w:after="120" w:before="280"/>
      </w:pPr>
      <w:r>
        <w:rPr>
          <w:rFonts w:ascii="Arial" w:cs="Arial" w:eastAsia="Arial" w:hAnsi="Arial"/>
          <w:b/>
          <w:bCs/>
          <w:color w:val="1F4E79"/>
          <w:sz w:val="28"/>
          <w:szCs w:val="28"/>
        </w:rPr>
        <w:t xml:space="preserve">1. System Identification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rPr>
          <w:tblHeader/>
        </w:trPr>
        <w:tc>
          <w:tcPr>
            <w:tcW w:type="dxa" w:w="31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Field</w:t>
            </w:r>
          </w:p>
        </w:tc>
        <w:tc>
          <w:tcPr>
            <w:tcW w:type="dxa" w:w="62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Value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Organization Name</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[Company Name]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System Name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[Company Name] FCI Environment</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System Acronym / ID</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[COMPANY]-FCI</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System Owner</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 Title]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IS Security Manager</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 Title, Email, Phone]</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IT Provider / MSP</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 of IT Provider / MSP]</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Primary Location(s)</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[List physical locations where FCI is processed — e.g., HQ, remote offices]</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System Type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Cloud-based / On-premises / Hybrid (select applicable)</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Applicable Standard</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FAR Clause 52.204-21 | CMMC v2.0 Level 1 | NIST SP 800-171</w:t>
            </w:r>
          </w:p>
        </w:tc>
      </w:tr>
      <w:tr>
        <w:tc>
          <w:tcPr>
            <w:tcW w:type="dxa" w:w="31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SPRS Score</w:t>
            </w:r>
          </w:p>
        </w:tc>
        <w:tc>
          <w:tcPr>
            <w:tcW w:type="dxa" w:w="62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[Enter score after self-assessment — range: -203 to 110]</w:t>
            </w:r>
          </w:p>
        </w:tc>
      </w:tr>
      <w:tr>
        <w:tc>
          <w:tcPr>
            <w:tcW w:type="dxa" w:w="31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Plan of Action Date</w:t>
            </w:r>
          </w:p>
        </w:tc>
        <w:tc>
          <w:tcPr>
            <w:tcW w:type="dxa" w:w="62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[Date of self-assessment]</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2. System Description</w:t>
      </w:r>
    </w:p>
    <w:p>
      <w:pPr>
        <w:pStyle w:val="Heading2"/>
        <w:spacing w:after="80" w:before="200"/>
      </w:pPr>
      <w:r>
        <w:rPr>
          <w:rFonts w:ascii="Arial" w:cs="Arial" w:eastAsia="Arial" w:hAnsi="Arial"/>
          <w:b/>
          <w:bCs/>
          <w:color w:val="2E75B6"/>
          <w:sz w:val="24"/>
          <w:szCs w:val="24"/>
        </w:rPr>
        <w:t xml:space="preserve">2.1 Purpose</w:t>
      </w:r>
    </w:p>
    <w:p>
      <w:pPr>
        <w:spacing w:after="80" w:before="80"/>
      </w:pPr>
      <w:r>
        <w:rPr>
          <w:rFonts w:ascii="Arial" w:cs="Arial" w:eastAsia="Arial" w:hAnsi="Arial"/>
          <w:b w:val="false"/>
          <w:bCs w:val="false"/>
          <w:sz w:val="20"/>
          <w:szCs w:val="20"/>
        </w:rPr>
        <w:t xml:space="preserve">[Company Name] performs [describe federal contract work — e.g., engineering services, logistics, IT support] under federal contracts subject to FAR Clause 52.204-21. In the course of this work, the Company receives and generates Federal Contract Information (FCI) that must be protected in accordance with CMMC Level 1 requirements.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2.2 System Boundary</w:t>
      </w:r>
    </w:p>
    <w:p>
      <w:pPr>
        <w:spacing w:after="80" w:before="80"/>
      </w:pPr>
      <w:r>
        <w:rPr>
          <w:rFonts w:ascii="Arial" w:cs="Arial" w:eastAsia="Arial" w:hAnsi="Arial"/>
          <w:b w:val="false"/>
          <w:bCs w:val="false"/>
          <w:sz w:val="20"/>
          <w:szCs w:val="20"/>
        </w:rPr>
        <w:t xml:space="preserve">The FCI environment consists of all systems, devices, users, and services that store, process, or transmit FCI. The following components are within the system boundary:</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880"/>
        <w:gridCol w:w="2160"/>
        <w:gridCol w:w="2160"/>
      </w:tblGrid>
      <w:tr>
        <w:trPr>
          <w:tblHeader/>
        </w:trPr>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Location</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FCI Role</w:t>
            </w:r>
          </w:p>
        </w:tc>
      </w:tr>
      <w:tr>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[Primary Collaboration Platform — e.g., M365 / Google Workspace]</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Email, file storage, and communication platform for FCI</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 (vendor-hosted)</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Store / Process / Transmit</w:t>
            </w:r>
          </w:p>
        </w:tc>
      </w:tr>
      <w:tr>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Managed Workstations / Laptops</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Company-owned endpoints used to access FCI</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[Location(s)]</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Access / Process</w:t>
            </w:r>
          </w:p>
        </w:tc>
      </w:tr>
      <w:tr>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[Network Infrastructure]</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Routers, firewalls, switches at Company offices</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[Location(s)]</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Transmit / Boundary</w:t>
            </w:r>
          </w:p>
        </w:tc>
      </w:tr>
      <w:tr>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[Remote Access — VPN or equivalent]</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Encrypted remote access solution for off-site personnel</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 / On-premises</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Transmit</w:t>
            </w:r>
          </w:p>
        </w:tc>
      </w:tr>
      <w:tr>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[MDR / Endpoint Security]</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Managed detection and response on all endpoints</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Cloud-based / Agent on endpoints</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Monitor / Protect</w:t>
            </w:r>
          </w:p>
        </w:tc>
      </w:tr>
      <w:tr>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[Other systems — add as applicable]</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[Description]</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[Location]</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[Role]</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2.3 Users</w:t>
      </w:r>
    </w:p>
    <w:p>
      <w:pPr>
        <w:spacing w:after="80" w:before="80"/>
      </w:pPr>
      <w:r>
        <w:rPr>
          <w:rFonts w:ascii="Arial" w:cs="Arial" w:eastAsia="Arial" w:hAnsi="Arial"/>
          <w:b w:val="false"/>
          <w:bCs w:val="false"/>
          <w:sz w:val="20"/>
          <w:szCs w:val="20"/>
        </w:rPr>
        <w:t xml:space="preserve">The FCI environment supports the following user categories: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880"/>
        <w:gridCol w:w="3600"/>
      </w:tblGrid>
      <w:tr>
        <w:trPr>
          <w:tblHeader/>
        </w:trPr>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User Category</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Approx. Count</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Access Description</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FCI Employees (standard)</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Read/write access to FCI in role-appropriate areas</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IT / System Administrators</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Privileged access for system management — limited to named IT personnel</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External Service Providers</w:t>
            </w:r>
          </w:p>
        </w:tc>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Scoped access as required by service agreement; no broad FCI access</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2.4 Data Types</w:t>
      </w:r>
    </w:p>
    <w:p>
      <w:pPr>
        <w:spacing w:after="80" w:before="80"/>
      </w:pPr>
      <w:r>
        <w:rPr>
          <w:rFonts w:ascii="Arial" w:cs="Arial" w:eastAsia="Arial" w:hAnsi="Arial"/>
          <w:b w:val="false"/>
          <w:bCs w:val="false"/>
          <w:sz w:val="20"/>
          <w:szCs w:val="20"/>
        </w:rPr>
        <w:t xml:space="preserve">The FCI environment stores and processes the following data types:</w:t>
      </w:r>
    </w:p>
    <w:p>
      <w:pPr>
        <w:pStyle w:val="ListParagraph"/>
        <w:numPr>
          <w:ilvl w:val="0"/>
          <w:numId w:val="2"/>
        </w:numPr>
        <w:spacing w:after="40" w:before="40"/>
      </w:pPr>
      <w:r>
        <w:rPr>
          <w:rFonts w:ascii="Arial" w:cs="Arial" w:eastAsia="Arial" w:hAnsi="Arial"/>
          <w:sz w:val="20"/>
          <w:szCs w:val="20"/>
        </w:rPr>
        <w:t xml:space="preserve">Federal Contract Information (FCI) — non-public information provided by or generated for the Government under a federal contract</w:t>
      </w:r>
    </w:p>
    <w:p>
      <w:pPr>
        <w:pStyle w:val="ListParagraph"/>
        <w:numPr>
          <w:ilvl w:val="0"/>
          <w:numId w:val="2"/>
        </w:numPr>
        <w:spacing w:after="40" w:before="40"/>
      </w:pPr>
      <w:r>
        <w:rPr>
          <w:rFonts w:ascii="Arial" w:cs="Arial" w:eastAsia="Arial" w:hAnsi="Arial"/>
          <w:sz w:val="20"/>
          <w:szCs w:val="20"/>
        </w:rPr>
        <w:t xml:space="preserve">Contract documents, proposals, and deliverables</w:t>
      </w:r>
    </w:p>
    <w:p>
      <w:pPr>
        <w:pStyle w:val="ListParagraph"/>
        <w:numPr>
          <w:ilvl w:val="0"/>
          <w:numId w:val="2"/>
        </w:numPr>
        <w:spacing w:after="40" w:before="40"/>
      </w:pPr>
      <w:r>
        <w:rPr>
          <w:rFonts w:ascii="Arial" w:cs="Arial" w:eastAsia="Arial" w:hAnsi="Arial"/>
          <w:sz w:val="20"/>
          <w:szCs w:val="20"/>
        </w:rPr>
        <w:t xml:space="preserve">Employee information related to contract performance</w:t>
      </w:r>
    </w:p>
    <w:p>
      <w:pPr>
        <w:pStyle w:val="ListParagraph"/>
        <w:numPr>
          <w:ilvl w:val="0"/>
          <w:numId w:val="2"/>
        </w:numPr>
        <w:spacing w:after="40" w:before="40"/>
      </w:pPr>
      <w:r>
        <w:rPr>
          <w:rFonts w:ascii="Arial" w:cs="Arial" w:eastAsia="Arial" w:hAnsi="Arial"/>
          <w:sz w:val="20"/>
          <w:szCs w:val="20"/>
        </w:rPr>
        <w:t xml:space="preserve">[Add any other data types as applicable]</w:t>
      </w:r>
    </w:p>
    <w:p>
      <w:pPr>
        <w:spacing w:after="60" w:before="60"/>
      </w:pPr>
      <w:r>
        <w:t xml:space="preserve"/>
      </w:r>
    </w:p>
    <w:p>
      <w:pPr>
        <w:spacing w:after="80" w:before="80"/>
      </w:pPr>
      <w:r>
        <w:rPr>
          <w:rFonts w:ascii="Arial" w:cs="Arial" w:eastAsia="Arial" w:hAnsi="Arial"/>
          <w:b w:val="false"/>
          <w:bCs w:val="false"/>
          <w:sz w:val="20"/>
          <w:szCs w:val="20"/>
        </w:rPr>
        <w:t xml:space="preserve">This system does NOT store Controlled Unclassified Information (CUI) or classified information. [Update if not true — CUI requires CMMC Level 2.]</w:t>
      </w:r>
    </w:p>
    <w:p>
      <w:pPr>
        <w:spacing w:after="60" w:before="60"/>
      </w:pPr>
      <w:r>
        <w:t xml:space="preserve"/>
      </w:r>
    </w:p>
    <w:p>
      <w:pPr>
        <w:pStyle w:val="Heading1"/>
        <w:spacing w:after="120" w:before="280"/>
      </w:pPr>
      <w:r>
        <w:rPr>
          <w:rFonts w:ascii="Arial" w:cs="Arial" w:eastAsia="Arial" w:hAnsi="Arial"/>
          <w:b/>
          <w:bCs/>
          <w:color w:val="1F4E79"/>
          <w:sz w:val="28"/>
          <w:szCs w:val="28"/>
        </w:rPr>
        <w:t xml:space="preserve">3. Security Control Implementation</w:t>
      </w:r>
    </w:p>
    <w:p>
      <w:pPr>
        <w:spacing w:after="80" w:before="80"/>
      </w:pPr>
      <w:r>
        <w:rPr>
          <w:rFonts w:ascii="Arial" w:cs="Arial" w:eastAsia="Arial" w:hAnsi="Arial"/>
          <w:b w:val="false"/>
          <w:bCs w:val="false"/>
          <w:sz w:val="20"/>
          <w:szCs w:val="20"/>
        </w:rPr>
        <w:t xml:space="preserve">The following table documents the implementation status of all 17 CMMC Level 1 practices. All controls are required to be implemented for CMMC Level 1 compliance.</w:t>
      </w:r>
    </w:p>
    <w:p>
      <w:pPr>
        <w:spacing w:after="60" w:before="60"/>
      </w:pPr>
      <w:r>
        <w:t xml:space="preserve"/>
      </w:r>
    </w:p>
    <w:p>
      <w:pPr>
        <w:spacing w:after="80" w:before="80"/>
      </w:pPr>
      <w:r>
        <w:rPr>
          <w:rFonts w:ascii="Arial" w:cs="Arial" w:eastAsia="Arial" w:hAnsi="Arial"/>
          <w:b w:val="false"/>
          <w:bCs w:val="false"/>
          <w:sz w:val="20"/>
          <w:szCs w:val="20"/>
        </w:rPr>
        <w:t xml:space="preserve">Status Key:</w:t>
      </w:r>
    </w:p>
    <w:p>
      <w:pPr>
        <w:pStyle w:val="ListParagraph"/>
        <w:numPr>
          <w:ilvl w:val="0"/>
          <w:numId w:val="2"/>
        </w:numPr>
        <w:spacing w:after="40" w:before="40"/>
      </w:pPr>
      <w:r>
        <w:rPr>
          <w:rFonts w:ascii="Arial" w:cs="Arial" w:eastAsia="Arial" w:hAnsi="Arial"/>
          <w:sz w:val="20"/>
          <w:szCs w:val="20"/>
        </w:rPr>
        <w:t xml:space="preserve">Implemented — Control is fully in place and functioning</w:t>
      </w:r>
    </w:p>
    <w:p>
      <w:pPr>
        <w:pStyle w:val="ListParagraph"/>
        <w:numPr>
          <w:ilvl w:val="0"/>
          <w:numId w:val="2"/>
        </w:numPr>
        <w:spacing w:after="40" w:before="40"/>
      </w:pPr>
      <w:r>
        <w:rPr>
          <w:rFonts w:ascii="Arial" w:cs="Arial" w:eastAsia="Arial" w:hAnsi="Arial"/>
          <w:sz w:val="20"/>
          <w:szCs w:val="20"/>
        </w:rPr>
        <w:t xml:space="preserve">Planned — Control is not yet in place; remediation plan exists</w:t>
      </w:r>
    </w:p>
    <w:p>
      <w:pPr>
        <w:pStyle w:val="ListParagraph"/>
        <w:numPr>
          <w:ilvl w:val="0"/>
          <w:numId w:val="2"/>
        </w:numPr>
        <w:spacing w:after="40" w:before="40"/>
      </w:pPr>
      <w:r>
        <w:rPr>
          <w:rFonts w:ascii="Arial" w:cs="Arial" w:eastAsia="Arial" w:hAnsi="Arial"/>
          <w:sz w:val="20"/>
          <w:szCs w:val="20"/>
        </w:rPr>
        <w:t xml:space="preserve">Not Implemented — Control is not in place and no plan exists</w:t>
      </w:r>
    </w:p>
    <w:p>
      <w:pPr>
        <w:spacing w:after="60" w:before="60"/>
      </w:pPr>
      <w:r>
        <w:t xml:space="preserve"/>
      </w:r>
    </w:p>
    <w:p>
      <w:pPr>
        <w:pStyle w:val="Heading2"/>
        <w:spacing w:after="80" w:before="200"/>
      </w:pPr>
      <w:r>
        <w:rPr>
          <w:rFonts w:ascii="Arial" w:cs="Arial" w:eastAsia="Arial" w:hAnsi="Arial"/>
          <w:b/>
          <w:bCs/>
          <w:color w:val="2E75B6"/>
          <w:sz w:val="24"/>
          <w:szCs w:val="24"/>
        </w:rPr>
        <w:t xml:space="preserve">3.1 Access Control (AC)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Limit access to authorized users, processes, and devices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how access is limited — e.g., Active Directory / Entra ID accounts, role-based permissions, User Access List maintained by IS Security Manager]</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Limit system access to types of transactions and functions authorized users are permitted to execute</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role-based access controls — e.g., SharePoint permission tiers, application role assignments, admin access limited to [#] named IT personnel]</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3.1.21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Limit use of portable storage devices on external systems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enforcement — e.g., USB access disabled via endpoint management policy; exception process documented; IS Security Manager approval required]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3.1.22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Control CUI/FCI posted or processed on publicly accessible information systems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controls — e.g., public website has no FCI; personnel prohibited from posting FCI to public systems; review process exists]</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3.2 Identification and Authentication (IA)</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3.5.1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Identify information system users, processes acting on behalf of users, and devices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unique user identification — e.g., all users have individual named accounts; shared accounts prohibited; User Access List maintained]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3.5.2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Authenticate (or verify) the identities of those users, processes, or devices, as a prerequisite to allowing access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authentication — e.g., password + MFA for cloud access; password complexity requirements; remote access requires MFA]</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3.3 Media Protection (MP)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3.8.3</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Sanitize or destroy information system media before disposal or reuse</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sanitization — e.g., NIST 800-88 procedures followed; IT provider performs sanitization; Media Sanitization Log maintained; cross-cut shredding for paper]</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3.4 Physical Protection (PE)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3.10.1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Limit physical access to organizational information systems, equipment, and the respective operating environments to authorized individuals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physical controls — e.g., key or badge access at all FCI locations; visitor log maintained; unauthorized individuals escorted]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3.10.3</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Escort visitors and monitor visitor activity</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visitor controls — e.g., visitors signed in and escorted at all times; visitor log at each facility with name, organization, purpose, entry/exit time]</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3.5 System and Communications Protection (SC)</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3.13.1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Monitor, control, and protect organizational communications at the external boundaries and key internal boundaries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 e.g., firewall at network perimeter; all remote access via VPN; cloud communications encrypted in transit; MDR/SOC monitors network traffic]</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3.13.5</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Implement subnetworks for publicly accessible system components that are physically or logically separated from internal networks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 e.g., public-facing web presence separate from internal FCI systems; cloud tenant isolation; no direct internet exposure of FCI data stores]</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3.6 System and Information Integrity (SI)</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3.14.1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Identify, report, and correct information and information system flaws in a timely manner</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patch management — e.g., critical patches within 30 days, non-critical within 90 days; IT provider manages patching; Patch Compliance Log maintained]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3.14.2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Provide protection from malicious code at appropriate locations within organizational information systems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endpoint protection — e.g., EDR/antivirus deployed on all managed endpoints; managed by IT provider; real-time scanning enabled]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3.14.4</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Update malicious code protection mechanisms when new releases are available</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update cadence — e.g., automatic signature updates enabled; software updates applied by IT provider; IS Security Manager reviews protection status monthly]</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3.14.5</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Perform periodic scans of the information system and real-time scans of files from external sources as files are downloaded, opened, or executed</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scanning — e.g., weekly automated scans; real-time scanning on all endpoints; scan results reviewed by IT provider; MDR/SOC provides continuous monitoring]</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3.7 Awareness and Training (AT)</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3.2.1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Ensure that managers, systems administrators, and users of organizational information systems are made aware of the security risks associated with their activities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awareness program — e.g., annual security awareness training required for all FCI personnel; covers phishing, FCI handling, passwords, incident reporting; Training Completion Log maintained]</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3.2.2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Ensure that organizational personnel are adequately trained to carry out their assigned information security responsibilities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role-based training — e.g., IS Security Manager and IT admins receive role-specific security training; training completed within 30 days of assignment and annually thereafter]</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3.8 Incident Response (IR)</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3.6.1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Establish an operational incident-handling capability for organizational information systems that includes adequate preparation, detection, analysis, containment, recovery, and user response activities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 e.g., Incident Response Plan documented and maintained; IS Security Manager designated as incident lead; IT provider provides technical response; plan reviewed and tested annually]</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3.6.2</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Track, document, and report incidents to designated officials and/or authorities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 e.g., Security Incident Log maintained by IS Security Manager; government notification per FAR 52.204-21 within 72 hours; Breach Notification SOP defines notification process]</w:t>
            </w:r>
          </w:p>
        </w:tc>
      </w:tr>
    </w:tbl>
    <w:p>
      <w:pPr>
        <w:spacing w:after="60" w:before="60"/>
      </w:pPr>
      <w:r>
        <w:t xml:space="preserve"/>
      </w:r>
    </w:p>
    <w:p>
      <w:pPr>
        <w:pStyle w:val="Heading2"/>
        <w:spacing w:after="80" w:before="200"/>
      </w:pPr>
      <w:r>
        <w:rPr>
          <w:rFonts w:ascii="Arial" w:cs="Arial" w:eastAsia="Arial" w:hAnsi="Arial"/>
          <w:b/>
          <w:bCs/>
          <w:color w:val="2E75B6"/>
          <w:sz w:val="24"/>
          <w:szCs w:val="24"/>
        </w:rPr>
        <w:t xml:space="preserve">3.9 Configuration Management (CM)</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440"/>
        <w:gridCol w:w="2880"/>
        <w:gridCol w:w="1440"/>
        <w:gridCol w:w="3600"/>
      </w:tblGrid>
      <w:tr>
        <w:trPr>
          <w:tblHeader/>
        </w:trPr>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Implementation Description</w:t>
            </w:r>
          </w:p>
        </w:tc>
      </w:tr>
      <w:tr>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3.4.1</w:t>
            </w:r>
          </w:p>
        </w:tc>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Establish and maintain baseline configurations and inventories of organizational information systems</w:t>
            </w:r>
          </w:p>
        </w:tc>
        <w:tc>
          <w:tcPr>
            <w:tcW w:type="dxa" w:w="1440"/>
            <w:tcBorders>
              <w:top w:val="single" w:color="CCCCCC" w:sz="1"/>
              <w:left w:val="single" w:color="CCCCCC" w:sz="1"/>
              <w:bottom w:val="single" w:color="CCCCCC" w:sz="1"/>
              <w:right w:val="single" w:color="CCCCCC" w:sz="1"/>
            </w:tcBorders>
            <w:shd w:fill="E2EFDA" w:val="clear"/>
            <w:tcMar>
              <w:top w:type="dxa" w:w="80"/>
              <w:left w:type="dxa" w:w="120"/>
              <w:bottom w:type="dxa" w:w="80"/>
              <w:right w:type="dxa" w:w="120"/>
            </w:tcMar>
          </w:tcPr>
          <w:p>
            <w:r>
              <w:rPr>
                <w:rFonts w:ascii="Arial" w:cs="Arial" w:eastAsia="Arial" w:hAnsi="Arial"/>
                <w:b/>
                <w:bCs/>
                <w:color w:val="375623"/>
                <w:sz w:val="20"/>
                <w:szCs w:val="20"/>
              </w:rPr>
              <w:t xml:space="preserve">Implemented</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 e.g., Endpoint Configuration Standard maintained; IT provider enforces baseline via MDM/endpoint management; asset inventory maintained]</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4. Evidence and Supporting Documentation</w:t>
      </w:r>
    </w:p>
    <w:p>
      <w:pPr>
        <w:spacing w:after="80" w:before="80"/>
      </w:pPr>
      <w:r>
        <w:rPr>
          <w:rFonts w:ascii="Arial" w:cs="Arial" w:eastAsia="Arial" w:hAnsi="Arial"/>
          <w:b w:val="false"/>
          <w:bCs w:val="false"/>
          <w:sz w:val="20"/>
          <w:szCs w:val="20"/>
        </w:rPr>
        <w:t xml:space="preserve">The following artifacts support the control implementations described in Section 3. All documents are maintained in [Company Name]'s designated compliance file location.</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200"/>
        <w:gridCol w:w="3600"/>
        <w:gridCol w:w="2160"/>
        <w:gridCol w:w="2400"/>
      </w:tblGrid>
      <w:tr>
        <w:trPr>
          <w:tblHeader/>
        </w:trPr>
        <w:tc>
          <w:tcPr>
            <w:tcW w:type="dxa" w:w="12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ID</w:t>
            </w:r>
          </w:p>
        </w:tc>
        <w:tc>
          <w:tcPr>
            <w:tcW w:type="dxa" w:w="36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Document / Artifact</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24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POL-001</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FCI Security Policy</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POL-002</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Acceptable Use Policy</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POL-003</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Background Check Policy</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PROC-001</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Incident Response Plan</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PROC-002</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Breach Notification SOP</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PROC-003</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User Onboarding/Offboarding Procedure</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PROC-004</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Media Sanitization Procedure</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CONF-001</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Endpoint Configuration Standard</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EV-001</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User Access List</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EV-002</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Asset Inventory / Authorized Device List</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EV-003</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Security Incident Log</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EV-004</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Training Completion Log</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EV-005</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Patch Compliance Log</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EV-006</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Media Sanitization Log</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EV-007</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AUP Signed Acknowledgment File</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 / SharePoint location]</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EV-008</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Visitor Log (all locations)</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[Physical location / scanned to SharePoint]</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EV-009</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Background Check Records</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[HR file / SharePoint]</w:t>
            </w:r>
          </w:p>
        </w:tc>
      </w:tr>
      <w:tr>
        <w:tc>
          <w:tcPr>
            <w:tcW w:type="dxa" w:w="1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VENDOR-001</w:t>
            </w:r>
          </w:p>
        </w:tc>
        <w:tc>
          <w:tcPr>
            <w:tcW w:type="dxa" w:w="3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IT Provider / MSP Agreement with security clauses</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w:t>
            </w:r>
          </w:p>
        </w:tc>
      </w:tr>
      <w:tr>
        <w:tc>
          <w:tcPr>
            <w:tcW w:type="dxa" w:w="12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VENDOR-002</w:t>
            </w:r>
          </w:p>
        </w:tc>
        <w:tc>
          <w:tcPr>
            <w:tcW w:type="dxa" w:w="36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 provider security documentation (SOC 2 / FedRAMP)</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Current</w:t>
            </w:r>
          </w:p>
        </w:tc>
        <w:tc>
          <w:tcPr>
            <w:tcW w:type="dxa" w:w="24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[File path]</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5. Plan of Action and Milestones (POA&amp;M)</w:t>
      </w:r>
    </w:p>
    <w:p>
      <w:pPr>
        <w:spacing w:after="80" w:before="80"/>
      </w:pPr>
      <w:r>
        <w:rPr>
          <w:rFonts w:ascii="Arial" w:cs="Arial" w:eastAsia="Arial" w:hAnsi="Arial"/>
          <w:b w:val="false"/>
          <w:bCs w:val="false"/>
          <w:sz w:val="20"/>
          <w:szCs w:val="20"/>
        </w:rPr>
        <w:t xml:space="preserve">Any control not fully implemented at the time of self-assessment must be documented in the POA&amp;M below. The POA&amp;M is reviewed and updated at least quarterly.</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080"/>
        <w:gridCol w:w="1800"/>
        <w:gridCol w:w="2520"/>
        <w:gridCol w:w="1440"/>
        <w:gridCol w:w="1440"/>
        <w:gridCol w:w="1080"/>
      </w:tblGrid>
      <w:tr>
        <w:trPr>
          <w:tblHeader/>
        </w:trPr>
        <w:tc>
          <w:tcPr>
            <w:tcW w:type="dxa" w:w="10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POA&amp;M ID</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Practice</w:t>
            </w:r>
          </w:p>
        </w:tc>
        <w:tc>
          <w:tcPr>
            <w:tcW w:type="dxa" w:w="25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Gap Description</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Owner</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Target Date</w:t>
            </w:r>
          </w:p>
        </w:tc>
        <w:tc>
          <w:tcPr>
            <w:tcW w:type="dxa" w:w="10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Status</w:t>
            </w:r>
          </w:p>
        </w:tc>
      </w:tr>
      <w:tr>
        <w:tc>
          <w:tcPr>
            <w:tcW w:type="dxa" w:w="10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[001]</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[3.X.X]</w:t>
            </w:r>
          </w:p>
        </w:tc>
        <w:tc>
          <w:tcPr>
            <w:tcW w:type="dxa" w:w="25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the gap]</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[Date]</w:t>
            </w:r>
          </w:p>
        </w:tc>
        <w:tc>
          <w:tcPr>
            <w:tcW w:type="dxa" w:w="10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Open</w:t>
            </w:r>
          </w:p>
        </w:tc>
      </w:tr>
      <w:tr>
        <w:tc>
          <w:tcPr>
            <w:tcW w:type="dxa" w:w="1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[002]</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[3.X.X]</w:t>
            </w:r>
          </w:p>
        </w:tc>
        <w:tc>
          <w:tcPr>
            <w:tcW w:type="dxa" w:w="25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the gap]</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[Date]</w:t>
            </w:r>
          </w:p>
        </w:tc>
        <w:tc>
          <w:tcPr>
            <w:tcW w:type="dxa" w:w="10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Open</w:t>
            </w:r>
          </w:p>
        </w:tc>
      </w:tr>
      <w:tr>
        <w:tc>
          <w:tcPr>
            <w:tcW w:type="dxa" w:w="10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[003]</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[3.X.X]</w:t>
            </w:r>
          </w:p>
        </w:tc>
        <w:tc>
          <w:tcPr>
            <w:tcW w:type="dxa" w:w="25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[Describe the gap]</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[Date]</w:t>
            </w:r>
          </w:p>
        </w:tc>
        <w:tc>
          <w:tcPr>
            <w:tcW w:type="dxa" w:w="10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Open</w:t>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6. Third-Party and Cloud Service Providers</w:t>
      </w:r>
    </w:p>
    <w:p>
      <w:pPr>
        <w:spacing w:after="80" w:before="80"/>
      </w:pPr>
      <w:r>
        <w:rPr>
          <w:rFonts w:ascii="Arial" w:cs="Arial" w:eastAsia="Arial" w:hAnsi="Arial"/>
          <w:b w:val="false"/>
          <w:bCs w:val="false"/>
          <w:sz w:val="20"/>
          <w:szCs w:val="20"/>
        </w:rPr>
        <w:t xml:space="preserve">The following external service providers (ESPs) have access to or support the FCI environment:</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160"/>
        <w:gridCol w:w="2160"/>
        <w:gridCol w:w="1440"/>
        <w:gridCol w:w="1800"/>
        <w:gridCol w:w="1800"/>
      </w:tblGrid>
      <w:tr>
        <w:trPr>
          <w:tblHeader/>
        </w:trPr>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Provider</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Service</w:t>
            </w:r>
          </w:p>
        </w:tc>
        <w:tc>
          <w:tcPr>
            <w:tcW w:type="dxa" w:w="144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FCI Access</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Security Evidence</w:t>
            </w:r>
          </w:p>
        </w:tc>
        <w:tc>
          <w:tcPr>
            <w:tcW w:type="dxa" w:w="180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Agreement</w:t>
            </w:r>
          </w:p>
        </w:tc>
      </w:tr>
      <w:tr>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[Cloud Platform Provider]</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Email, file storage, collaboration</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Stores FCI</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SOC 2 Type II / FedRAMP</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DPA / Flow-down</w:t>
            </w:r>
          </w:p>
        </w:tc>
      </w:tr>
      <w:tr>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[IT Provider / MSP]</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Endpoint management, IT support</w:t>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Technical access to FCI systems</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Security attestation on file</w:t>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 MSA with security clauses</w:t>
            </w:r>
          </w:p>
        </w:tc>
      </w:tr>
      <w:tr>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[MDR / Security Provider]</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Monitoring, alerting, SOC</w:t>
            </w:r>
          </w:p>
        </w:tc>
        <w:tc>
          <w:tcPr>
            <w:tcW w:type="dxa" w:w="144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Log access only — no FCI content</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SOC 2 on file</w:t>
            </w:r>
          </w:p>
        </w:tc>
        <w:tc>
          <w:tcPr>
            <w:tcW w:type="dxa" w:w="180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 ] Service agreement</w:t>
            </w:r>
          </w:p>
        </w:tc>
      </w:tr>
      <w:tr>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[Add others as applicable]</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14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c>
          <w:tcPr>
            <w:tcW w:type="dxa" w:w="18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
            </w:r>
          </w:p>
        </w:tc>
      </w:tr>
    </w:tbl>
    <w:p>
      <w:pPr>
        <w:spacing w:after="60" w:before="60"/>
      </w:pPr>
      <w:r>
        <w:t xml:space="preserve"/>
      </w:r>
    </w:p>
    <w:p>
      <w:pPr>
        <w:pStyle w:val="Heading1"/>
        <w:spacing w:after="120" w:before="280"/>
      </w:pPr>
      <w:r>
        <w:rPr>
          <w:rFonts w:ascii="Arial" w:cs="Arial" w:eastAsia="Arial" w:hAnsi="Arial"/>
          <w:b/>
          <w:bCs/>
          <w:color w:val="1F4E79"/>
          <w:sz w:val="28"/>
          <w:szCs w:val="28"/>
        </w:rPr>
        <w:t xml:space="preserve">7. Review and Approval</w:t>
      </w:r>
    </w:p>
    <w:p>
      <w:pPr>
        <w:spacing w:after="80" w:before="80"/>
      </w:pPr>
      <w:r>
        <w:rPr>
          <w:rFonts w:ascii="Arial" w:cs="Arial" w:eastAsia="Arial" w:hAnsi="Arial"/>
          <w:b w:val="false"/>
          <w:bCs w:val="false"/>
          <w:sz w:val="20"/>
          <w:szCs w:val="20"/>
        </w:rPr>
        <w:t xml:space="preserve">This System Security Plan is reviewed annually and updated upon significant changes to the FCI environment, organizational structure, or applicable regulations. The IS Security Manager is responsible for initiating and coordinating the annual review.</w:t>
      </w:r>
    </w:p>
    <w:p>
      <w:pPr>
        <w:spacing w:after="60" w:before="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80"/>
        <w:gridCol w:w="2160"/>
        <w:gridCol w:w="4320"/>
      </w:tblGrid>
      <w:tr>
        <w:trPr>
          <w:tblHeader/>
        </w:trPr>
        <w:tc>
          <w:tcPr>
            <w:tcW w:type="dxa" w:w="288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Role</w:t>
            </w:r>
          </w:p>
        </w:tc>
        <w:tc>
          <w:tcPr>
            <w:tcW w:type="dxa" w:w="216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Name</w:t>
            </w:r>
          </w:p>
        </w:tc>
        <w:tc>
          <w:tcPr>
            <w:tcW w:type="dxa" w:w="4320"/>
            <w:tcBorders>
              <w:top w:val="single" w:color="CCCCCC" w:sz="1"/>
              <w:left w:val="single" w:color="CCCCCC" w:sz="1"/>
              <w:bottom w:val="single" w:color="CCCCCC" w:sz="1"/>
              <w:right w:val="single" w:color="CCCCCC" w:sz="1"/>
            </w:tcBorders>
            <w:shd w:fill="1F4E79" w:val="clear"/>
            <w:tcMar>
              <w:top w:type="dxa" w:w="80"/>
              <w:left w:type="dxa" w:w="120"/>
              <w:bottom w:type="dxa" w:w="80"/>
              <w:right w:type="dxa" w:w="120"/>
            </w:tcMar>
          </w:tcPr>
          <w:p>
            <w:r>
              <w:rPr>
                <w:rFonts w:ascii="Arial" w:cs="Arial" w:eastAsia="Arial" w:hAnsi="Arial"/>
                <w:b/>
                <w:bCs/>
                <w:color w:val="FFFFFF"/>
                <w:sz w:val="20"/>
                <w:szCs w:val="20"/>
              </w:rPr>
              <w:t xml:space="preserve">Signature / Date</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IS Security Manager</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43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___________________</w:t>
            </w:r>
          </w:p>
        </w:tc>
      </w:tr>
      <w:tr>
        <w:tc>
          <w:tcPr>
            <w:tcW w:type="dxa" w:w="28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System Owner / Executive Sponsor</w:t>
            </w:r>
          </w:p>
        </w:tc>
        <w:tc>
          <w:tcPr>
            <w:tcW w:type="dxa" w:w="21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432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b w:val="false"/>
                <w:bCs w:val="false"/>
                <w:color w:val="000000"/>
                <w:sz w:val="20"/>
                <w:szCs w:val="20"/>
              </w:rPr>
              <w:t xml:space="preserve">___________________</w:t>
            </w:r>
          </w:p>
        </w:tc>
      </w:tr>
      <w:tr>
        <w:tc>
          <w:tcPr>
            <w:tcW w:type="dxa" w:w="288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IT Provider Lead</w:t>
            </w:r>
          </w:p>
        </w:tc>
        <w:tc>
          <w:tcPr>
            <w:tcW w:type="dxa" w:w="216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[Name]</w:t>
            </w:r>
          </w:p>
        </w:tc>
        <w:tc>
          <w:tcPr>
            <w:tcW w:type="dxa" w:w="4320"/>
            <w:tcBorders>
              <w:top w:val="single" w:color="CCCCCC" w:sz="1"/>
              <w:left w:val="single" w:color="CCCCCC" w:sz="1"/>
              <w:bottom w:val="single" w:color="CCCCCC" w:sz="1"/>
              <w:right w:val="single" w:color="CCCCCC" w:sz="1"/>
            </w:tcBorders>
            <w:shd w:fill="F2F2F2" w:val="clear"/>
            <w:tcMar>
              <w:top w:type="dxa" w:w="80"/>
              <w:left w:type="dxa" w:w="120"/>
              <w:bottom w:type="dxa" w:w="80"/>
              <w:right w:type="dxa" w:w="120"/>
            </w:tcMar>
          </w:tcPr>
          <w:p>
            <w:r>
              <w:rPr>
                <w:rFonts w:ascii="Arial" w:cs="Arial" w:eastAsia="Arial" w:hAnsi="Arial"/>
                <w:b w:val="false"/>
                <w:bCs w:val="false"/>
                <w:color w:val="000000"/>
                <w:sz w:val="20"/>
                <w:szCs w:val="20"/>
              </w:rPr>
              <w:t xml:space="preserve">___________________</w:t>
            </w:r>
          </w:p>
        </w:tc>
      </w:tr>
    </w:tbl>
    <w:p>
      <w:pPr>
        <w:spacing w:after="60" w:before="60"/>
      </w:pPr>
      <w:r>
        <w:t xml:space="preserve"/>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1F4E79" w:sz="4" w:space="4"/>
      </w:pBdr>
      <w:tabs>
        <w:tab w:val="right" w:pos="9026"/>
      </w:tabs>
    </w:pPr>
    <w:r>
      <w:rPr>
        <w:rFonts w:ascii="Arial" w:cs="Arial" w:eastAsia="Arial" w:hAnsi="Arial"/>
        <w:color w:val="595959"/>
        <w:sz w:val="16"/>
        <w:szCs w:val="16"/>
      </w:rPr>
      <w:t xml:space="preserve">Internal Use Only — CMMC Level 1 Compliance</w:t>
    </w:r>
    <w:r>
      <w:rPr>
        <w:rFonts w:ascii="Arial" w:cs="Arial" w:eastAsia="Arial" w:hAnsi="Arial"/>
        <w:color w:val="595959"/>
        <w:sz w:val="16"/>
        <w:szCs w:val="16"/>
      </w:rPr>
      <w:t xml:space="preserve">	Page </w:t>
    </w:r>
    <w:r>
      <w:rPr>
        <w:rFonts w:ascii="Arial" w:cs="Arial" w:eastAsia="Arial" w:hAnsi="Arial"/>
        <w:color w:val="595959"/>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9" w:sz="4" w:space="4"/>
      </w:pBdr>
      <w:tabs>
        <w:tab w:val="right" w:pos="9026"/>
      </w:tabs>
    </w:pPr>
    <w:r>
      <w:rPr>
        <w:rFonts w:ascii="Arial" w:cs="Arial" w:eastAsia="Arial" w:hAnsi="Arial"/>
        <w:color w:val="595959"/>
        <w:sz w:val="18"/>
        <w:szCs w:val="18"/>
      </w:rPr>
      <w:t xml:space="preserve">[Company Name] — System Security Plan (SSP) | FCI Environment</w:t>
    </w:r>
    <w:r>
      <w:rPr>
        <w:rFonts w:ascii="Arial" w:cs="Arial" w:eastAsia="Arial" w:hAnsi="Arial"/>
        <w:color w:val="595959"/>
        <w:sz w:val="18"/>
        <w:szCs w:val="18"/>
      </w:rPr>
      <w:t xml:space="preserve">	[COMPANY]-FCI-SSP-001 | v1.0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40" w:before="40"/>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pBdr>
        <w:bottom w:val="single" w:color="1F4E79" w:sz="4" w:space="4"/>
      </w:pBdr>
      <w:spacing w:after="120" w:before="280"/>
      <w:outlineLvl w:val="0"/>
    </w:pPr>
    <w:rPr>
      <w:rFonts w:ascii="Arial" w:cs="Arial" w:eastAsia="Arial" w:hAnsi="Arial"/>
      <w:b/>
      <w:bCs/>
      <w:color w:val="1F4E79"/>
      <w:sz w:val="28"/>
      <w:szCs w:val="28"/>
    </w:rPr>
  </w:style>
  <w:style w:type="paragraph" w:styleId="Heading2">
    <w:name w:val="Heading 2"/>
    <w:basedOn w:val="Normal"/>
    <w:next w:val="Normal"/>
    <w:qFormat/>
    <w:pPr>
      <w:spacing w:after="80" w:before="200"/>
      <w:outlineLvl w:val="1"/>
    </w:pPr>
    <w:rPr>
      <w:rFonts w:ascii="Arial" w:cs="Arial" w:eastAsia="Arial" w:hAnsi="Arial"/>
      <w:b/>
      <w:bCs/>
      <w:color w:val="2E75B6"/>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2026-05-12T15:14:48.058Z</dcterms:created>
  <dcterms:modified xsi:type="dcterms:W3CDTF">2026-05-12T15:14:48.058Z</dcterms:modified>
</cp:coreProperties>
</file>

<file path=docProps/custom.xml><?xml version="1.0" encoding="utf-8"?>
<Properties xmlns="http://schemas.openxmlformats.org/officeDocument/2006/custom-properties" xmlns:vt="http://schemas.openxmlformats.org/officeDocument/2006/docPropsVTypes"/>
</file>