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2880"/>
        <w:jc w:val="center"/>
      </w:pPr>
      <w:r>
        <w:rPr>
          <w:rFonts w:ascii="Arial" w:cs="Arial" w:eastAsia="Arial" w:hAnsi="Arial"/>
          <w:b/>
          <w:bCs/>
          <w:color w:val="1F4E79"/>
          <w:sz w:val="56"/>
          <w:szCs w:val="56"/>
        </w:rPr>
        <w:t xml:space="preserve">[Company Name]</w:t>
      </w:r>
    </w:p>
    <w:p>
      <w:pPr>
        <w:spacing w:after="240" w:before="0"/>
        <w:jc w:val="center"/>
      </w:pPr>
      <w:r>
        <w:rPr>
          <w:rFonts w:ascii="Arial" w:cs="Arial" w:eastAsia="Arial" w:hAnsi="Arial"/>
          <w:b/>
          <w:bCs/>
          <w:color w:val="2E75B6"/>
          <w:sz w:val="36"/>
          <w:szCs w:val="36"/>
        </w:rPr>
        <w:t xml:space="preserve">Background Check Policy</w:t>
      </w:r>
    </w:p>
    <w:p>
      <w:pPr>
        <w:spacing w:after="120" w:before="0"/>
        <w:jc w:val="center"/>
      </w:pPr>
      <w:r>
        <w:rPr>
          <w:rFonts w:ascii="Arial" w:cs="Arial" w:eastAsia="Arial" w:hAnsi="Arial"/>
          <w:color w:val="595959"/>
          <w:sz w:val="28"/>
          <w:szCs w:val="28"/>
        </w:rPr>
        <w:t xml:space="preserve">Personnel Security — CMMC Level 1 | FAR 52.204-21</w:t>
      </w:r>
    </w:p>
    <w:p>
      <w:pPr>
        <w:spacing w:after="60" w:before="60"/>
      </w:pPr>
      <w:r>
        <w:t xml:space="preserve"/>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Document Number: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[COMPANY]-FCI-BGC-001</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Version: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1.0</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Effective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[Month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Next Review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[Month Year + 1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Classification: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Internal Use Only</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Prepared By: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[Name, Title]</w:t>
            </w:r>
          </w:p>
        </w:tc>
      </w:tr>
    </w:tbl>
    <w:p>
      <w:r>
        <w:br/>
      </w:r>
    </w:p>
    <w:p>
      <w:pPr>
        <w:pStyle w:val="Heading1"/>
        <w:spacing w:after="120" w:before="280"/>
      </w:pPr>
      <w:r>
        <w:rPr>
          <w:rFonts w:ascii="Arial" w:cs="Arial" w:eastAsia="Arial" w:hAnsi="Arial"/>
          <w:b/>
          <w:bCs/>
          <w:color w:val="1F4E79"/>
          <w:sz w:val="28"/>
          <w:szCs w:val="28"/>
        </w:rPr>
        <w:t xml:space="preserve">1. Purpose</w:t>
      </w:r>
    </w:p>
    <w:p>
      <w:pPr>
        <w:spacing w:after="80" w:before="80"/>
      </w:pPr>
      <w:r>
        <w:rPr>
          <w:rFonts w:ascii="Arial" w:cs="Arial" w:eastAsia="Arial" w:hAnsi="Arial"/>
          <w:b w:val="false"/>
          <w:bCs w:val="false"/>
          <w:sz w:val="20"/>
          <w:szCs w:val="20"/>
        </w:rPr>
        <w:t xml:space="preserve">[Company Name] is required to ensure that all personnel with access to Federal Contract Information (FCI) are screened appropriately. This policy defines background check requirements for employees, contractors, and authorized third parties. It supports CMMC Level 1 personnel security requirements and the spirit of FAR Clause 52.204-21.</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2. Scope</w:t>
      </w:r>
    </w:p>
    <w:p>
      <w:pPr>
        <w:spacing w:after="80" w:before="80"/>
      </w:pPr>
      <w:r>
        <w:rPr>
          <w:rFonts w:ascii="Arial" w:cs="Arial" w:eastAsia="Arial" w:hAnsi="Arial"/>
          <w:b w:val="false"/>
          <w:bCs w:val="false"/>
          <w:sz w:val="20"/>
          <w:szCs w:val="20"/>
        </w:rPr>
        <w:t xml:space="preserve">This policy applies to all individuals who will be granted access to FCI systems or data, including:</w:t>
      </w:r>
    </w:p>
    <w:p>
      <w:pPr>
        <w:pStyle w:val="ListParagraph"/>
        <w:numPr>
          <w:ilvl w:val="0"/>
          <w:numId w:val="2"/>
        </w:numPr>
        <w:spacing w:after="40" w:before="40"/>
      </w:pPr>
      <w:r>
        <w:rPr>
          <w:rFonts w:ascii="Arial" w:cs="Arial" w:eastAsia="Arial" w:hAnsi="Arial"/>
          <w:sz w:val="20"/>
          <w:szCs w:val="20"/>
        </w:rPr>
        <w:t xml:space="preserve">Full-time and part-time employees</w:t>
      </w:r>
    </w:p>
    <w:p>
      <w:pPr>
        <w:pStyle w:val="ListParagraph"/>
        <w:numPr>
          <w:ilvl w:val="0"/>
          <w:numId w:val="2"/>
        </w:numPr>
        <w:spacing w:after="40" w:before="40"/>
      </w:pPr>
      <w:r>
        <w:rPr>
          <w:rFonts w:ascii="Arial" w:cs="Arial" w:eastAsia="Arial" w:hAnsi="Arial"/>
          <w:sz w:val="20"/>
          <w:szCs w:val="20"/>
        </w:rPr>
        <w:t xml:space="preserve">Independent contractors and consultants</w:t>
      </w:r>
    </w:p>
    <w:p>
      <w:pPr>
        <w:pStyle w:val="ListParagraph"/>
        <w:numPr>
          <w:ilvl w:val="0"/>
          <w:numId w:val="2"/>
        </w:numPr>
        <w:spacing w:after="40" w:before="40"/>
      </w:pPr>
      <w:r>
        <w:rPr>
          <w:rFonts w:ascii="Arial" w:cs="Arial" w:eastAsia="Arial" w:hAnsi="Arial"/>
          <w:sz w:val="20"/>
          <w:szCs w:val="20"/>
        </w:rPr>
        <w:t xml:space="preserve">Temporary workers placed by staffing agencies</w:t>
      </w:r>
    </w:p>
    <w:p>
      <w:pPr>
        <w:pStyle w:val="ListParagraph"/>
        <w:numPr>
          <w:ilvl w:val="0"/>
          <w:numId w:val="2"/>
        </w:numPr>
        <w:spacing w:after="40" w:before="40"/>
      </w:pPr>
      <w:r>
        <w:rPr>
          <w:rFonts w:ascii="Arial" w:cs="Arial" w:eastAsia="Arial" w:hAnsi="Arial"/>
          <w:sz w:val="20"/>
          <w:szCs w:val="20"/>
        </w:rPr>
        <w:t xml:space="preserve">IT service providers with access to FCI systems</w:t>
      </w:r>
    </w:p>
    <w:p>
      <w:pPr>
        <w:spacing w:after="60" w:before="60"/>
      </w:pPr>
      <w:r>
        <w:t xml:space="preserve"/>
      </w:r>
    </w:p>
    <w:p>
      <w:pPr>
        <w:spacing w:after="80" w:before="80"/>
      </w:pPr>
      <w:r>
        <w:rPr>
          <w:rFonts w:ascii="Arial" w:cs="Arial" w:eastAsia="Arial" w:hAnsi="Arial"/>
          <w:b w:val="false"/>
          <w:bCs w:val="false"/>
          <w:sz w:val="20"/>
          <w:szCs w:val="20"/>
        </w:rPr>
        <w:t xml:space="preserve">Volunteers, visitors, and personnel with no access to FCI are not subject to this policy.</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3. Background Check Requirements</w:t>
      </w:r>
    </w:p>
    <w:p>
      <w:pPr>
        <w:pStyle w:val="Heading2"/>
        <w:spacing w:after="80" w:before="200"/>
      </w:pPr>
      <w:r>
        <w:rPr>
          <w:rFonts w:ascii="Arial" w:cs="Arial" w:eastAsia="Arial" w:hAnsi="Arial"/>
          <w:b/>
          <w:bCs/>
          <w:color w:val="2E75B6"/>
          <w:sz w:val="24"/>
          <w:szCs w:val="24"/>
        </w:rPr>
        <w:t xml:space="preserve">3.1 Pre-Employment Screening</w:t>
      </w:r>
    </w:p>
    <w:p>
      <w:pPr>
        <w:spacing w:after="80" w:before="80"/>
      </w:pPr>
      <w:r>
        <w:rPr>
          <w:rFonts w:ascii="Arial" w:cs="Arial" w:eastAsia="Arial" w:hAnsi="Arial"/>
          <w:b w:val="false"/>
          <w:bCs w:val="false"/>
          <w:sz w:val="20"/>
          <w:szCs w:val="20"/>
        </w:rPr>
        <w:t xml:space="preserve">All personnel must complete a background check before FCI system access is granted. Access is not provisioned until a satisfactory background check result is received and reviewed.</w:t>
      </w:r>
    </w:p>
    <w:p>
      <w:pPr>
        <w:spacing w:after="60" w:before="60"/>
      </w:pPr>
      <w:r>
        <w:t xml:space="preserve"/>
      </w:r>
    </w:p>
    <w:p>
      <w:pPr>
        <w:spacing w:after="80" w:before="80"/>
      </w:pPr>
      <w:r>
        <w:rPr>
          <w:rFonts w:ascii="Arial" w:cs="Arial" w:eastAsia="Arial" w:hAnsi="Arial"/>
          <w:b w:val="false"/>
          <w:bCs w:val="false"/>
          <w:sz w:val="20"/>
          <w:szCs w:val="20"/>
        </w:rPr>
        <w:t xml:space="preserve">Standard background check components include:</w:t>
      </w:r>
    </w:p>
    <w:p>
      <w:pPr>
        <w:pStyle w:val="ListParagraph"/>
        <w:numPr>
          <w:ilvl w:val="0"/>
          <w:numId w:val="2"/>
        </w:numPr>
        <w:spacing w:after="40" w:before="40"/>
      </w:pPr>
      <w:r>
        <w:rPr>
          <w:rFonts w:ascii="Arial" w:cs="Arial" w:eastAsia="Arial" w:hAnsi="Arial"/>
          <w:sz w:val="20"/>
          <w:szCs w:val="20"/>
        </w:rPr>
        <w:t xml:space="preserve">Criminal history check (national and county-level, minimum 7 years)</w:t>
      </w:r>
    </w:p>
    <w:p>
      <w:pPr>
        <w:pStyle w:val="ListParagraph"/>
        <w:numPr>
          <w:ilvl w:val="0"/>
          <w:numId w:val="2"/>
        </w:numPr>
        <w:spacing w:after="40" w:before="40"/>
      </w:pPr>
      <w:r>
        <w:rPr>
          <w:rFonts w:ascii="Arial" w:cs="Arial" w:eastAsia="Arial" w:hAnsi="Arial"/>
          <w:sz w:val="20"/>
          <w:szCs w:val="20"/>
        </w:rPr>
        <w:t xml:space="preserve">Social Security Number verification and identity validation</w:t>
      </w:r>
    </w:p>
    <w:p>
      <w:pPr>
        <w:pStyle w:val="ListParagraph"/>
        <w:numPr>
          <w:ilvl w:val="0"/>
          <w:numId w:val="2"/>
        </w:numPr>
        <w:spacing w:after="40" w:before="40"/>
      </w:pPr>
      <w:r>
        <w:rPr>
          <w:rFonts w:ascii="Arial" w:cs="Arial" w:eastAsia="Arial" w:hAnsi="Arial"/>
          <w:sz w:val="20"/>
          <w:szCs w:val="20"/>
        </w:rPr>
        <w:t xml:space="preserve">Employment history verification (minimum 5 years or as feasible)</w:t>
      </w:r>
    </w:p>
    <w:p>
      <w:pPr>
        <w:pStyle w:val="ListParagraph"/>
        <w:numPr>
          <w:ilvl w:val="0"/>
          <w:numId w:val="2"/>
        </w:numPr>
        <w:spacing w:after="40" w:before="40"/>
      </w:pPr>
      <w:r>
        <w:rPr>
          <w:rFonts w:ascii="Arial" w:cs="Arial" w:eastAsia="Arial" w:hAnsi="Arial"/>
          <w:sz w:val="20"/>
          <w:szCs w:val="20"/>
        </w:rPr>
        <w:t xml:space="preserve">Education verification (highest degree, if required by role)</w:t>
      </w:r>
    </w:p>
    <w:p>
      <w:pPr>
        <w:pStyle w:val="ListParagraph"/>
        <w:numPr>
          <w:ilvl w:val="0"/>
          <w:numId w:val="2"/>
        </w:numPr>
        <w:spacing w:after="40" w:before="40"/>
      </w:pPr>
      <w:r>
        <w:rPr>
          <w:rFonts w:ascii="Arial" w:cs="Arial" w:eastAsia="Arial" w:hAnsi="Arial"/>
          <w:sz w:val="20"/>
          <w:szCs w:val="20"/>
        </w:rPr>
        <w:t xml:space="preserve">[Add any additional components required by contract or company policy]</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3.2 Periodic Re-Screening</w:t>
      </w:r>
    </w:p>
    <w:p>
      <w:pPr>
        <w:spacing w:after="80" w:before="80"/>
      </w:pPr>
      <w:r>
        <w:rPr>
          <w:rFonts w:ascii="Arial" w:cs="Arial" w:eastAsia="Arial" w:hAnsi="Arial"/>
          <w:b w:val="false"/>
          <w:bCs w:val="false"/>
          <w:sz w:val="20"/>
          <w:szCs w:val="20"/>
        </w:rPr>
        <w:t xml:space="preserve">Personnel in roles with ongoing FCI access are subject to re-screening on the following schedule: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rPr>
          <w:tblHeader/>
        </w:trPr>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Role Category</w:t>
            </w:r>
          </w:p>
        </w:tc>
        <w:tc>
          <w:tcPr>
            <w:tcW w:type="dxa" w:w="57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Re-Screening Frequency</w:t>
            </w:r>
          </w:p>
        </w:tc>
      </w:tr>
      <w:t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IS Security Manager / IT Admin (privileged access)</w:t>
            </w:r>
          </w:p>
        </w:tc>
        <w:tc>
          <w:tcPr>
            <w:tcW w:type="dxa" w:w="57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Every [2] years</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All other FCI personnel</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Every [3] years</w:t>
            </w:r>
          </w:p>
        </w:tc>
      </w:tr>
      <w:tr>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Upon return from extended leave (&gt;90 days)</w:t>
            </w:r>
          </w:p>
        </w:tc>
        <w:tc>
          <w:tcPr>
            <w:tcW w:type="dxa" w:w="57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Upon return — at manager/IS Security Manager discretion</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3.3 For-Cause Re-Screening</w:t>
      </w:r>
    </w:p>
    <w:p>
      <w:pPr>
        <w:spacing w:after="80" w:before="80"/>
      </w:pPr>
      <w:r>
        <w:rPr>
          <w:rFonts w:ascii="Arial" w:cs="Arial" w:eastAsia="Arial" w:hAnsi="Arial"/>
          <w:b w:val="false"/>
          <w:bCs w:val="false"/>
          <w:sz w:val="20"/>
          <w:szCs w:val="20"/>
        </w:rPr>
        <w:t xml:space="preserve">A new background check may be initiated at any time if there is reasonable cause to believe an employee's background has materially changed in a way that affects their suitability for FCI access. Triggers may include:</w:t>
      </w:r>
    </w:p>
    <w:p>
      <w:pPr>
        <w:pStyle w:val="ListParagraph"/>
        <w:numPr>
          <w:ilvl w:val="0"/>
          <w:numId w:val="2"/>
        </w:numPr>
        <w:spacing w:after="40" w:before="40"/>
      </w:pPr>
      <w:r>
        <w:rPr>
          <w:rFonts w:ascii="Arial" w:cs="Arial" w:eastAsia="Arial" w:hAnsi="Arial"/>
          <w:sz w:val="20"/>
          <w:szCs w:val="20"/>
        </w:rPr>
        <w:t xml:space="preserve">Criminal arrest or conviction reported to management</w:t>
      </w:r>
    </w:p>
    <w:p>
      <w:pPr>
        <w:pStyle w:val="ListParagraph"/>
        <w:numPr>
          <w:ilvl w:val="0"/>
          <w:numId w:val="2"/>
        </w:numPr>
        <w:spacing w:after="40" w:before="40"/>
      </w:pPr>
      <w:r>
        <w:rPr>
          <w:rFonts w:ascii="Arial" w:cs="Arial" w:eastAsia="Arial" w:hAnsi="Arial"/>
          <w:sz w:val="20"/>
          <w:szCs w:val="20"/>
        </w:rPr>
        <w:t xml:space="preserve">Unexplained unusual behavior or security concern</w:t>
      </w:r>
    </w:p>
    <w:p>
      <w:pPr>
        <w:pStyle w:val="ListParagraph"/>
        <w:numPr>
          <w:ilvl w:val="0"/>
          <w:numId w:val="2"/>
        </w:numPr>
        <w:spacing w:after="40" w:before="40"/>
      </w:pPr>
      <w:r>
        <w:rPr>
          <w:rFonts w:ascii="Arial" w:cs="Arial" w:eastAsia="Arial" w:hAnsi="Arial"/>
          <w:sz w:val="20"/>
          <w:szCs w:val="20"/>
        </w:rPr>
        <w:t xml:space="preserve">Management request with documented rationale</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4. Process and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rPr>
          <w:tblHeader/>
        </w:trPr>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Responsibility</w:t>
            </w:r>
          </w:p>
        </w:tc>
        <w:tc>
          <w:tcPr>
            <w:tcW w:type="dxa" w:w="64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Details</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HR</w:t>
            </w:r>
          </w:p>
        </w:tc>
        <w:tc>
          <w:tcPr>
            <w:tcW w:type="dxa" w:w="6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Initiates background check upon offer acceptance. Reviews results. Notifies IS Security Manager when cleared. Maintains records.</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IS Security Manager</w:t>
            </w:r>
          </w:p>
        </w:tc>
        <w:tc>
          <w:tcPr>
            <w:tcW w:type="dxa" w:w="6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Confirms background check clearance before provisioning FCI access. Tracks re-screening schedule.</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Hiring Manager</w:t>
            </w:r>
          </w:p>
        </w:tc>
        <w:tc>
          <w:tcPr>
            <w:tcW w:type="dxa" w:w="64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Notifies HR of any role changes requiring updated access review.</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Background Check Vendor</w:t>
            </w:r>
          </w:p>
        </w:tc>
        <w:tc>
          <w:tcPr>
            <w:tcW w:type="dxa" w:w="64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Provides results to HR within [5–10] business days. Maintains FCRA compliance.</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5. Adjudication — Handling Adverse Results</w:t>
      </w:r>
    </w:p>
    <w:p>
      <w:pPr>
        <w:spacing w:after="80" w:before="80"/>
      </w:pPr>
      <w:r>
        <w:rPr>
          <w:rFonts w:ascii="Arial" w:cs="Arial" w:eastAsia="Arial" w:hAnsi="Arial"/>
          <w:b w:val="false"/>
          <w:bCs w:val="false"/>
          <w:sz w:val="20"/>
          <w:szCs w:val="20"/>
        </w:rPr>
        <w:t xml:space="preserve">HR reviews all background check results in consultation with Legal Counsel when adverse findings are present. Factors considered include:</w:t>
      </w:r>
    </w:p>
    <w:p>
      <w:pPr>
        <w:pStyle w:val="ListParagraph"/>
        <w:numPr>
          <w:ilvl w:val="0"/>
          <w:numId w:val="2"/>
        </w:numPr>
        <w:spacing w:after="40" w:before="40"/>
      </w:pPr>
      <w:r>
        <w:rPr>
          <w:rFonts w:ascii="Arial" w:cs="Arial" w:eastAsia="Arial" w:hAnsi="Arial"/>
          <w:sz w:val="20"/>
          <w:szCs w:val="20"/>
        </w:rPr>
        <w:t xml:space="preserve">Nature, gravity, and recency of the offense</w:t>
      </w:r>
    </w:p>
    <w:p>
      <w:pPr>
        <w:pStyle w:val="ListParagraph"/>
        <w:numPr>
          <w:ilvl w:val="0"/>
          <w:numId w:val="2"/>
        </w:numPr>
        <w:spacing w:after="40" w:before="40"/>
      </w:pPr>
      <w:r>
        <w:rPr>
          <w:rFonts w:ascii="Arial" w:cs="Arial" w:eastAsia="Arial" w:hAnsi="Arial"/>
          <w:sz w:val="20"/>
          <w:szCs w:val="20"/>
        </w:rPr>
        <w:t xml:space="preserve">Relationship between the offense and the duties of the position</w:t>
      </w:r>
    </w:p>
    <w:p>
      <w:pPr>
        <w:pStyle w:val="ListParagraph"/>
        <w:numPr>
          <w:ilvl w:val="0"/>
          <w:numId w:val="2"/>
        </w:numPr>
        <w:spacing w:after="40" w:before="40"/>
      </w:pPr>
      <w:r>
        <w:rPr>
          <w:rFonts w:ascii="Arial" w:cs="Arial" w:eastAsia="Arial" w:hAnsi="Arial"/>
          <w:sz w:val="20"/>
          <w:szCs w:val="20"/>
        </w:rPr>
        <w:t xml:space="preserve">Evidence of rehabilitation</w:t>
      </w:r>
    </w:p>
    <w:p>
      <w:pPr>
        <w:spacing w:after="60" w:before="60"/>
      </w:pPr>
      <w:r>
        <w:t xml:space="preserve"/>
      </w:r>
    </w:p>
    <w:p>
      <w:pPr>
        <w:spacing w:after="80" w:before="80"/>
      </w:pPr>
      <w:r>
        <w:rPr>
          <w:rFonts w:ascii="Arial" w:cs="Arial" w:eastAsia="Arial" w:hAnsi="Arial"/>
          <w:b w:val="false"/>
          <w:bCs w:val="false"/>
          <w:sz w:val="20"/>
          <w:szCs w:val="20"/>
        </w:rPr>
        <w:t xml:space="preserve">Adverse findings do not automatically disqualify a candidate. Each case is reviewed individually. HR and Legal Counsel make the final adjudication decision. The IS Security Manager is notified of the outcome before access is granted or denied.</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6. Record Retention</w:t>
      </w:r>
    </w:p>
    <w:p>
      <w:pPr>
        <w:spacing w:after="80" w:before="80"/>
      </w:pPr>
      <w:r>
        <w:rPr>
          <w:rFonts w:ascii="Arial" w:cs="Arial" w:eastAsia="Arial" w:hAnsi="Arial"/>
          <w:b w:val="false"/>
          <w:bCs w:val="false"/>
          <w:sz w:val="20"/>
          <w:szCs w:val="20"/>
        </w:rPr>
        <w:t xml:space="preserve">Background check records are retained in secure personnel files (physical or encrypted digital) for the duration of employment plus [3] years. Records are accessible only to HR, the IS Security Manager, and Legal Counsel. Background check records are not shared with unauthorized parties.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7. Compliance with Fair Credit Reporting Act (FCRA)</w:t>
      </w:r>
    </w:p>
    <w:p>
      <w:pPr>
        <w:spacing w:after="80" w:before="80"/>
      </w:pPr>
      <w:r>
        <w:rPr>
          <w:rFonts w:ascii="Arial" w:cs="Arial" w:eastAsia="Arial" w:hAnsi="Arial"/>
          <w:b w:val="false"/>
          <w:bCs w:val="false"/>
          <w:sz w:val="20"/>
          <w:szCs w:val="20"/>
        </w:rPr>
        <w:t xml:space="preserve">All background checks are conducted in compliance with the Fair Credit Reporting Act (FCRA) and applicable state laws. Candidates receive required disclosures and provide written authorization before any background check is initiated. Adverse action procedures are followed when required.</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Role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Signature / Date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IS Security Manager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HR Lead</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Executive Sponsor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bl>
    <w:p>
      <w:pPr>
        <w:spacing w:after="60" w:before="6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F4E79" w:sz="4" w:space="4"/>
      </w:pBdr>
      <w:tabs>
        <w:tab w:val="right" w:pos="9026"/>
      </w:tabs>
    </w:pPr>
    <w:r>
      <w:rPr>
        <w:rFonts w:ascii="Arial" w:cs="Arial" w:eastAsia="Arial" w:hAnsi="Arial"/>
        <w:color w:val="595959"/>
        <w:sz w:val="16"/>
        <w:szCs w:val="16"/>
      </w:rPr>
      <w:t xml:space="preserve">Internal Use Only — CMMC Level 1 Compliance</w:t>
    </w:r>
    <w:r>
      <w:rPr>
        <w:rFonts w:ascii="Arial" w:cs="Arial" w:eastAsia="Arial" w:hAnsi="Arial"/>
        <w:color w:val="595959"/>
        <w:sz w:val="16"/>
        <w:szCs w:val="16"/>
      </w:rPr>
      <w:t xml:space="preserve">	Page </w:t>
    </w:r>
    <w:r>
      <w:rPr>
        <w:rFonts w:ascii="Arial" w:cs="Arial" w:eastAsia="Arial" w:hAnsi="Arial"/>
        <w:color w:val="59595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9" w:sz="4" w:space="4"/>
      </w:pBdr>
      <w:tabs>
        <w:tab w:val="right" w:pos="9026"/>
      </w:tabs>
    </w:pPr>
    <w:r>
      <w:rPr>
        <w:rFonts w:ascii="Arial" w:cs="Arial" w:eastAsia="Arial" w:hAnsi="Arial"/>
        <w:color w:val="595959"/>
        <w:sz w:val="18"/>
        <w:szCs w:val="18"/>
      </w:rPr>
      <w:t xml:space="preserve">[Company Name] — Background Check Policy</w:t>
    </w:r>
    <w:r>
      <w:rPr>
        <w:rFonts w:ascii="Arial" w:cs="Arial" w:eastAsia="Arial" w:hAnsi="Arial"/>
        <w:color w:val="595959"/>
        <w:sz w:val="18"/>
        <w:szCs w:val="18"/>
      </w:rPr>
      <w:t xml:space="preserve">	[COMPANY]-FCI-BGC-001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40" w:before="40"/>
        <w:ind w:left="720" w:hanging="360"/>
      </w:pPr>
    </w:lvl>
  </w:abstractNum>
  <w:abstractNum w:abstractNumId="3" w15:restartNumberingAfterBreak="0">
    <w:multiLevelType w:val="hybridMultilevel"/>
    <w:lvl w:ilvl="0" w15:tentative="1">
      <w:start w:val="1"/>
      <w:numFmt w:val="decimal"/>
      <w:lvlText w:val="%1."/>
      <w:lvlJc w:val="left"/>
      <w:pPr>
        <w:spacing w:after="40" w:before="40"/>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4E79" w:sz="4" w:space="4"/>
      </w:pBdr>
      <w:spacing w:after="120" w:before="280"/>
      <w:outlineLvl w:val="0"/>
    </w:pPr>
    <w:rPr>
      <w:rFonts w:ascii="Arial" w:cs="Arial" w:eastAsia="Arial" w:hAnsi="Arial"/>
      <w:b/>
      <w:bCs/>
      <w:color w:val="1F4E79"/>
      <w:sz w:val="28"/>
      <w:szCs w:val="28"/>
    </w:rPr>
  </w:style>
  <w:style w:type="paragraph" w:styleId="Heading2">
    <w:name w:val="Heading 2"/>
    <w:basedOn w:val="Normal"/>
    <w:next w:val="Normal"/>
    <w:qFormat/>
    <w:pPr>
      <w:spacing w:after="80" w:before="200"/>
      <w:outlineLvl w:val="1"/>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2026-05-12T15:12:58.738Z</dcterms:created>
  <dcterms:modified xsi:type="dcterms:W3CDTF">2026-05-12T15:12:58.738Z</dcterms:modified>
</cp:coreProperties>
</file>

<file path=docProps/custom.xml><?xml version="1.0" encoding="utf-8"?>
<Properties xmlns="http://schemas.openxmlformats.org/officeDocument/2006/custom-properties" xmlns:vt="http://schemas.openxmlformats.org/officeDocument/2006/docPropsVTypes"/>
</file>