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2880"/>
        <w:jc w:val="center"/>
      </w:pPr>
      <w:r>
        <w:rPr>
          <w:rFonts w:ascii="Arial" w:cs="Arial" w:eastAsia="Arial" w:hAnsi="Arial"/>
          <w:b/>
          <w:bCs/>
          <w:color w:val="1F4E79"/>
          <w:sz w:val="56"/>
          <w:szCs w:val="56"/>
        </w:rPr>
        <w:t xml:space="preserve">[Company Name]</w:t>
      </w:r>
    </w:p>
    <w:p>
      <w:pPr>
        <w:spacing w:after="240" w:before="0"/>
        <w:jc w:val="center"/>
      </w:pPr>
      <w:r>
        <w:rPr>
          <w:rFonts w:ascii="Arial" w:cs="Arial" w:eastAsia="Arial" w:hAnsi="Arial"/>
          <w:b/>
          <w:bCs/>
          <w:color w:val="2E75B6"/>
          <w:sz w:val="36"/>
          <w:szCs w:val="36"/>
        </w:rPr>
        <w:t xml:space="preserve">Media Sanitization Procedure</w:t>
      </w:r>
    </w:p>
    <w:p>
      <w:pPr>
        <w:spacing w:after="120" w:before="0"/>
        <w:jc w:val="center"/>
      </w:pPr>
      <w:r>
        <w:rPr>
          <w:rFonts w:ascii="Arial" w:cs="Arial" w:eastAsia="Arial" w:hAnsi="Arial"/>
          <w:color w:val="595959"/>
          <w:sz w:val="28"/>
          <w:szCs w:val="28"/>
        </w:rPr>
        <w:t xml:space="preserve">CMMC Level 1 | MP.1.118 / 3.8.3 | NIST SP 800-88</w:t>
      </w:r>
    </w:p>
    <w:p>
      <w:pPr>
        <w:spacing w:after="60" w:before="60"/>
      </w:pPr>
      <w:r>
        <w:t xml:space="preserve"/>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Document Number: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[COMPANY]-FCI-MP-001</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Version: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1.0</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Effective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[Month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Next Review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[Month Year + 1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Classification: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Internal Use Only</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Prepared By: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[Name, Title]</w:t>
            </w:r>
          </w:p>
        </w:tc>
      </w:tr>
    </w:tbl>
    <w:p>
      <w:r>
        <w:br/>
      </w:r>
    </w:p>
    <w:p>
      <w:pPr>
        <w:pStyle w:val="Heading1"/>
        <w:spacing w:after="120" w:before="280"/>
      </w:pPr>
      <w:r>
        <w:rPr>
          <w:rFonts w:ascii="Arial" w:cs="Arial" w:eastAsia="Arial" w:hAnsi="Arial"/>
          <w:b/>
          <w:bCs/>
          <w:color w:val="1F4E79"/>
          <w:sz w:val="28"/>
          <w:szCs w:val="28"/>
        </w:rPr>
        <w:t xml:space="preserve">1. Purpose</w:t>
      </w:r>
    </w:p>
    <w:p>
      <w:pPr>
        <w:spacing w:after="80" w:before="80"/>
      </w:pPr>
      <w:r>
        <w:rPr>
          <w:rFonts w:ascii="Arial" w:cs="Arial" w:eastAsia="Arial" w:hAnsi="Arial"/>
          <w:b w:val="false"/>
          <w:bCs w:val="false"/>
          <w:sz w:val="20"/>
          <w:szCs w:val="20"/>
        </w:rPr>
        <w:t xml:space="preserve">This procedure defines how [Company Name] sanitizes and disposes of digital and physical media that contains or may contain Federal Contract Information (FCI). It implements CMMC Level 1 practice MP.1.118 (3.8.3) and follows NIST Special Publication 800-88 Rev. 1, "Guidelines for Media Sanitization."</w:t>
      </w:r>
    </w:p>
    <w:p>
      <w:pPr>
        <w:spacing w:after="60" w:before="60"/>
      </w:pPr>
      <w:r>
        <w:t xml:space="preserve"/>
      </w:r>
    </w:p>
    <w:p>
      <w:pPr>
        <w:spacing w:after="80" w:before="80"/>
      </w:pPr>
      <w:r>
        <w:rPr>
          <w:rFonts w:ascii="Arial" w:cs="Arial" w:eastAsia="Arial" w:hAnsi="Arial"/>
          <w:b w:val="false"/>
          <w:bCs w:val="false"/>
          <w:sz w:val="20"/>
          <w:szCs w:val="20"/>
        </w:rPr>
        <w:t xml:space="preserve">Proper media sanitization prevents FCI from being recovered from media that is being repurposed, donated, sold, returned to a vendor, or destroyed.</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2. Scope</w:t>
      </w:r>
    </w:p>
    <w:p>
      <w:pPr>
        <w:spacing w:after="80" w:before="80"/>
      </w:pPr>
      <w:r>
        <w:rPr>
          <w:rFonts w:ascii="Arial" w:cs="Arial" w:eastAsia="Arial" w:hAnsi="Arial"/>
          <w:b w:val="false"/>
          <w:bCs w:val="false"/>
          <w:sz w:val="20"/>
          <w:szCs w:val="20"/>
        </w:rPr>
        <w:t xml:space="preserve">This procedure applies to all digital and physical media owned or managed by [Company Name] that has been used to store FCI, including:</w:t>
      </w:r>
    </w:p>
    <w:p>
      <w:pPr>
        <w:pStyle w:val="ListParagraph"/>
        <w:numPr>
          <w:ilvl w:val="0"/>
          <w:numId w:val="2"/>
        </w:numPr>
        <w:spacing w:after="40" w:before="40"/>
      </w:pPr>
      <w:r>
        <w:rPr>
          <w:rFonts w:ascii="Arial" w:cs="Arial" w:eastAsia="Arial" w:hAnsi="Arial"/>
          <w:sz w:val="20"/>
          <w:szCs w:val="20"/>
        </w:rPr>
        <w:t xml:space="preserve">Hard disk drives (HDDs) and solid-state drives (SSDs) — internal and external</w:t>
      </w:r>
    </w:p>
    <w:p>
      <w:pPr>
        <w:pStyle w:val="ListParagraph"/>
        <w:numPr>
          <w:ilvl w:val="0"/>
          <w:numId w:val="2"/>
        </w:numPr>
        <w:spacing w:after="40" w:before="40"/>
      </w:pPr>
      <w:r>
        <w:rPr>
          <w:rFonts w:ascii="Arial" w:cs="Arial" w:eastAsia="Arial" w:hAnsi="Arial"/>
          <w:sz w:val="20"/>
          <w:szCs w:val="20"/>
        </w:rPr>
        <w:t xml:space="preserve">USB flash drives and removable storage devices</w:t>
      </w:r>
    </w:p>
    <w:p>
      <w:pPr>
        <w:pStyle w:val="ListParagraph"/>
        <w:numPr>
          <w:ilvl w:val="0"/>
          <w:numId w:val="2"/>
        </w:numPr>
        <w:spacing w:after="40" w:before="40"/>
      </w:pPr>
      <w:r>
        <w:rPr>
          <w:rFonts w:ascii="Arial" w:cs="Arial" w:eastAsia="Arial" w:hAnsi="Arial"/>
          <w:sz w:val="20"/>
          <w:szCs w:val="20"/>
        </w:rPr>
        <w:t xml:space="preserve">Backup tapes and optical media (CDs, DVDs)</w:t>
      </w:r>
    </w:p>
    <w:p>
      <w:pPr>
        <w:pStyle w:val="ListParagraph"/>
        <w:numPr>
          <w:ilvl w:val="0"/>
          <w:numId w:val="2"/>
        </w:numPr>
        <w:spacing w:after="40" w:before="40"/>
      </w:pPr>
      <w:r>
        <w:rPr>
          <w:rFonts w:ascii="Arial" w:cs="Arial" w:eastAsia="Arial" w:hAnsi="Arial"/>
          <w:sz w:val="20"/>
          <w:szCs w:val="20"/>
        </w:rPr>
        <w:t xml:space="preserve">Mobile devices (smartphones, tablets) with FCI access</w:t>
      </w:r>
    </w:p>
    <w:p>
      <w:pPr>
        <w:pStyle w:val="ListParagraph"/>
        <w:numPr>
          <w:ilvl w:val="0"/>
          <w:numId w:val="2"/>
        </w:numPr>
        <w:spacing w:after="40" w:before="40"/>
      </w:pPr>
      <w:r>
        <w:rPr>
          <w:rFonts w:ascii="Arial" w:cs="Arial" w:eastAsia="Arial" w:hAnsi="Arial"/>
          <w:sz w:val="20"/>
          <w:szCs w:val="20"/>
        </w:rPr>
        <w:t xml:space="preserve">Laptops and workstations being decommissioned or repurposed</w:t>
      </w:r>
    </w:p>
    <w:p>
      <w:pPr>
        <w:pStyle w:val="ListParagraph"/>
        <w:numPr>
          <w:ilvl w:val="0"/>
          <w:numId w:val="2"/>
        </w:numPr>
        <w:spacing w:after="40" w:before="40"/>
      </w:pPr>
      <w:r>
        <w:rPr>
          <w:rFonts w:ascii="Arial" w:cs="Arial" w:eastAsia="Arial" w:hAnsi="Arial"/>
          <w:sz w:val="20"/>
          <w:szCs w:val="20"/>
        </w:rPr>
        <w:t xml:space="preserve">Cloud storage accounts — offboarding and access removal</w:t>
      </w:r>
    </w:p>
    <w:p>
      <w:pPr>
        <w:pStyle w:val="ListParagraph"/>
        <w:numPr>
          <w:ilvl w:val="0"/>
          <w:numId w:val="2"/>
        </w:numPr>
        <w:spacing w:after="40" w:before="40"/>
      </w:pPr>
      <w:r>
        <w:rPr>
          <w:rFonts w:ascii="Arial" w:cs="Arial" w:eastAsia="Arial" w:hAnsi="Arial"/>
          <w:sz w:val="20"/>
          <w:szCs w:val="20"/>
        </w:rPr>
        <w:t xml:space="preserve">Printed documents containing FCI</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3. Sanitization Methods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160"/>
        <w:gridCol w:w="4800"/>
      </w:tblGrid>
      <w:tr>
        <w:trPr>
          <w:tblHeader/>
        </w:trPr>
        <w:tc>
          <w:tcPr>
            <w:tcW w:type="dxa" w:w="24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Method</w:t>
            </w:r>
          </w:p>
        </w:tc>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Media Type</w:t>
            </w:r>
          </w:p>
        </w:tc>
        <w:tc>
          <w:tcPr>
            <w:tcW w:type="dxa" w:w="4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Clear (Overwrite)</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HDD — reuse</w:t>
            </w:r>
          </w:p>
        </w:tc>
        <w:tc>
          <w:tcPr>
            <w:tcW w:type="dxa" w:w="4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Overwrite all addressable storage locations with non-sensitive data. Minimum 1 pass. Use DoD 5220.22-M or equivalent tool.</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Purge (Cryptographic Erase)</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SSD / NVMe — reuse</w:t>
            </w:r>
          </w:p>
        </w:tc>
        <w:tc>
          <w:tcPr>
            <w:tcW w:type="dxa" w:w="4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Cryptographic erase using the drive's built-in secure erase command. Preferred for SSDs where overwrite is less effective.</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Physical Destruction</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Any media — disposal</w:t>
            </w:r>
          </w:p>
        </w:tc>
        <w:tc>
          <w:tcPr>
            <w:tcW w:type="dxa" w:w="4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Shredding, disintegration, or incineration. Required when media cannot be sanitized electronically or when destruction is more practical.</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Factory Reset + Remote Wipe</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Mobile devices — reuse or disposal</w:t>
            </w:r>
          </w:p>
        </w:tc>
        <w:tc>
          <w:tcPr>
            <w:tcW w:type="dxa" w:w="4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Perform factory reset via MDM (Intune or equivalent). Confirm all data is wiped before releasing device.</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Cross-Cut Shredding</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Paper documents</w:t>
            </w:r>
          </w:p>
        </w:tc>
        <w:tc>
          <w:tcPr>
            <w:tcW w:type="dxa" w:w="4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All printed FCI is shredded using a cross-cut or micro-cut shredder. Strip-cut shredders are not acceptable.</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Account Closure / Data Deletion</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Cloud storage</w:t>
            </w:r>
          </w:p>
        </w:tc>
        <w:tc>
          <w:tcPr>
            <w:tcW w:type="dxa" w:w="4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Confirm FCI is deleted from all cloud storage prior to account deactivation. Enable recycle bin purge if applicable.</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4. Sanitization Process</w:t>
      </w:r>
    </w:p>
    <w:p>
      <w:pPr>
        <w:pStyle w:val="Heading2"/>
        <w:spacing w:after="80" w:before="200"/>
      </w:pPr>
      <w:r>
        <w:rPr>
          <w:rFonts w:ascii="Arial" w:cs="Arial" w:eastAsia="Arial" w:hAnsi="Arial"/>
          <w:b/>
          <w:bCs/>
          <w:color w:val="2E75B6"/>
          <w:sz w:val="24"/>
          <w:szCs w:val="24"/>
        </w:rPr>
        <w:t xml:space="preserve">Step 1: Identify the Media</w:t>
      </w:r>
    </w:p>
    <w:p>
      <w:pPr>
        <w:spacing w:after="80" w:before="80"/>
      </w:pPr>
      <w:r>
        <w:rPr>
          <w:rFonts w:ascii="Arial" w:cs="Arial" w:eastAsia="Arial" w:hAnsi="Arial"/>
          <w:b w:val="false"/>
          <w:bCs w:val="false"/>
          <w:sz w:val="20"/>
          <w:szCs w:val="20"/>
        </w:rPr>
        <w:t xml:space="preserve">Before any disposal or reassignment, the responsible personnel (IS Security Manager or IT provider) confirm whether the media has been used for FCI. If there is any doubt, treat the media as containing FCI and apply the appropriate sanitization method.</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Step 2: Select the Sanitization Method</w:t>
      </w:r>
    </w:p>
    <w:p>
      <w:pPr>
        <w:spacing w:after="80" w:before="80"/>
      </w:pPr>
      <w:r>
        <w:rPr>
          <w:rFonts w:ascii="Arial" w:cs="Arial" w:eastAsia="Arial" w:hAnsi="Arial"/>
          <w:b w:val="false"/>
          <w:bCs w:val="false"/>
          <w:sz w:val="20"/>
          <w:szCs w:val="20"/>
        </w:rPr>
        <w:t xml:space="preserve">Select the method based on the media type and disposition (reuse vs. disposal) using the table in Section 3. When in doubt, physical destruction is always acceptable.</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Step 3: Perform Sanitization</w:t>
      </w:r>
    </w:p>
    <w:p>
      <w:pPr>
        <w:spacing w:after="80" w:before="80"/>
      </w:pPr>
      <w:r>
        <w:rPr>
          <w:rFonts w:ascii="Arial" w:cs="Arial" w:eastAsia="Arial" w:hAnsi="Arial"/>
          <w:b w:val="false"/>
          <w:bCs w:val="false"/>
          <w:sz w:val="20"/>
          <w:szCs w:val="20"/>
        </w:rPr>
        <w:t xml:space="preserve">Execute the selected sanitization method. For electronic sanitization, use approved tools only. Document the tool name, version, and output or confirmation.</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Step 4: Verify</w:t>
      </w:r>
    </w:p>
    <w:p>
      <w:pPr>
        <w:spacing w:after="80" w:before="80"/>
      </w:pPr>
      <w:r>
        <w:rPr>
          <w:rFonts w:ascii="Arial" w:cs="Arial" w:eastAsia="Arial" w:hAnsi="Arial"/>
          <w:b w:val="false"/>
          <w:bCs w:val="false"/>
          <w:sz w:val="20"/>
          <w:szCs w:val="20"/>
        </w:rPr>
        <w:t xml:space="preserve">After sanitization, verify the media is clean by attempting to read it or reviewing the tool's verification output. For physical destruction, retain a certificate of destruction from the vendor if applicable.</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Step 5: Document in Media Sanitization Log</w:t>
      </w:r>
    </w:p>
    <w:p>
      <w:pPr>
        <w:spacing w:after="80" w:before="80"/>
      </w:pPr>
      <w:r>
        <w:rPr>
          <w:rFonts w:ascii="Arial" w:cs="Arial" w:eastAsia="Arial" w:hAnsi="Arial"/>
          <w:b w:val="false"/>
          <w:bCs w:val="false"/>
          <w:sz w:val="20"/>
          <w:szCs w:val="20"/>
        </w:rPr>
        <w:t xml:space="preserve">Complete a Media Sanitization Log entry for every sanitization event (see template in Section 5).</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5. Media Sanitization Log Template</w:t>
      </w:r>
    </w:p>
    <w:p>
      <w:pPr>
        <w:spacing w:after="80" w:before="80"/>
      </w:pPr>
      <w:r>
        <w:rPr>
          <w:rFonts w:ascii="Arial" w:cs="Arial" w:eastAsia="Arial" w:hAnsi="Arial"/>
          <w:b w:val="false"/>
          <w:bCs w:val="false"/>
          <w:sz w:val="20"/>
          <w:szCs w:val="20"/>
        </w:rPr>
        <w:t xml:space="preserve">Maintain this log in the Company's designated compliance file location. Retain all entries for a minimum of 3 years.</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after="80" w:before="80"/>
            </w:pPr>
            <w:r>
              <w:rPr>
                <w:rFonts w:ascii="Arial" w:cs="Arial" w:eastAsia="Arial" w:hAnsi="Arial"/>
                <w:b/>
                <w:bCs/>
                <w:sz w:val="20"/>
                <w:szCs w:val="20"/>
              </w:rPr>
              <w:t xml:space="preserve">MEDIA SANITIZATION LOG — [Company Name]</w:t>
            </w:r>
          </w:p>
        </w:tc>
      </w:tr>
    </w:tbl>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1440"/>
        <w:gridCol w:w="1440"/>
        <w:gridCol w:w="1440"/>
        <w:gridCol w:w="1200"/>
        <w:gridCol w:w="1440"/>
      </w:tblGrid>
      <w:tr>
        <w:trPr>
          <w:tblHeader/>
        </w:trPr>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Date</w:t>
            </w:r>
          </w:p>
        </w:tc>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Media Type</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Asset / Serial #</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FCI Present?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Method Used</w:t>
            </w:r>
          </w:p>
        </w:tc>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Verified By</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Disposition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Yes / No</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Reuse / Destroy</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6. Third-Party Destruction</w:t>
      </w:r>
    </w:p>
    <w:p>
      <w:pPr>
        <w:spacing w:after="80" w:before="80"/>
      </w:pPr>
      <w:r>
        <w:rPr>
          <w:rFonts w:ascii="Arial" w:cs="Arial" w:eastAsia="Arial" w:hAnsi="Arial"/>
          <w:b w:val="false"/>
          <w:bCs w:val="false"/>
          <w:sz w:val="20"/>
          <w:szCs w:val="20"/>
        </w:rPr>
        <w:t xml:space="preserve">When physical destruction is performed by a third-party vendor (e.g., shredding company, IT asset disposal vendor), the vendor must:</w:t>
      </w:r>
    </w:p>
    <w:p>
      <w:pPr>
        <w:pStyle w:val="ListParagraph"/>
        <w:numPr>
          <w:ilvl w:val="0"/>
          <w:numId w:val="2"/>
        </w:numPr>
        <w:spacing w:after="40" w:before="40"/>
      </w:pPr>
      <w:r>
        <w:rPr>
          <w:rFonts w:ascii="Arial" w:cs="Arial" w:eastAsia="Arial" w:hAnsi="Arial"/>
          <w:sz w:val="20"/>
          <w:szCs w:val="20"/>
        </w:rPr>
        <w:t xml:space="preserve">Provide a Certificate of Destruction for each asset</w:t>
      </w:r>
    </w:p>
    <w:p>
      <w:pPr>
        <w:pStyle w:val="ListParagraph"/>
        <w:numPr>
          <w:ilvl w:val="0"/>
          <w:numId w:val="2"/>
        </w:numPr>
        <w:spacing w:after="40" w:before="40"/>
      </w:pPr>
      <w:r>
        <w:rPr>
          <w:rFonts w:ascii="Arial" w:cs="Arial" w:eastAsia="Arial" w:hAnsi="Arial"/>
          <w:sz w:val="20"/>
          <w:szCs w:val="20"/>
        </w:rPr>
        <w:t xml:space="preserve">Be bound by a written agreement requiring destruction in accordance with NIST 800-88</w:t>
      </w:r>
    </w:p>
    <w:p>
      <w:pPr>
        <w:pStyle w:val="ListParagraph"/>
        <w:numPr>
          <w:ilvl w:val="0"/>
          <w:numId w:val="2"/>
        </w:numPr>
        <w:spacing w:after="40" w:before="40"/>
      </w:pPr>
      <w:r>
        <w:rPr>
          <w:rFonts w:ascii="Arial" w:cs="Arial" w:eastAsia="Arial" w:hAnsi="Arial"/>
          <w:sz w:val="20"/>
          <w:szCs w:val="20"/>
        </w:rPr>
        <w:t xml:space="preserve">Not retain, sell, or otherwise transfer any media or data</w:t>
      </w:r>
    </w:p>
    <w:p>
      <w:pPr>
        <w:spacing w:after="60" w:before="60"/>
      </w:pPr>
      <w:r>
        <w:t xml:space="preserve"/>
      </w:r>
    </w:p>
    <w:p>
      <w:pPr>
        <w:spacing w:after="80" w:before="80"/>
      </w:pPr>
      <w:r>
        <w:rPr>
          <w:rFonts w:ascii="Arial" w:cs="Arial" w:eastAsia="Arial" w:hAnsi="Arial"/>
          <w:b w:val="false"/>
          <w:bCs w:val="false"/>
          <w:sz w:val="20"/>
          <w:szCs w:val="20"/>
        </w:rPr>
        <w:t xml:space="preserve">Certificates of Destruction are retained with the Media Sanitization Log entry.</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Role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Signature / Date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IS Security Manager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IT Provider</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bl>
    <w:p>
      <w:pPr>
        <w:spacing w:after="60" w:before="6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F4E79" w:sz="4" w:space="4"/>
      </w:pBdr>
      <w:tabs>
        <w:tab w:val="right" w:pos="9026"/>
      </w:tabs>
    </w:pPr>
    <w:r>
      <w:rPr>
        <w:rFonts w:ascii="Arial" w:cs="Arial" w:eastAsia="Arial" w:hAnsi="Arial"/>
        <w:color w:val="595959"/>
        <w:sz w:val="16"/>
        <w:szCs w:val="16"/>
      </w:rPr>
      <w:t xml:space="preserve">Internal Use Only — CMMC Level 1 Compliance</w:t>
    </w:r>
    <w:r>
      <w:rPr>
        <w:rFonts w:ascii="Arial" w:cs="Arial" w:eastAsia="Arial" w:hAnsi="Arial"/>
        <w:color w:val="595959"/>
        <w:sz w:val="16"/>
        <w:szCs w:val="16"/>
      </w:rPr>
      <w:t xml:space="preserve">	Page </w:t>
    </w:r>
    <w:r>
      <w:rPr>
        <w:rFonts w:ascii="Arial" w:cs="Arial" w:eastAsia="Arial" w:hAnsi="Arial"/>
        <w:color w:val="59595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9" w:sz="4" w:space="4"/>
      </w:pBdr>
      <w:tabs>
        <w:tab w:val="right" w:pos="9026"/>
      </w:tabs>
    </w:pPr>
    <w:r>
      <w:rPr>
        <w:rFonts w:ascii="Arial" w:cs="Arial" w:eastAsia="Arial" w:hAnsi="Arial"/>
        <w:color w:val="595959"/>
        <w:sz w:val="18"/>
        <w:szCs w:val="18"/>
      </w:rPr>
      <w:t xml:space="preserve">[Company Name] — Media Sanitization Procedure</w:t>
    </w:r>
    <w:r>
      <w:rPr>
        <w:rFonts w:ascii="Arial" w:cs="Arial" w:eastAsia="Arial" w:hAnsi="Arial"/>
        <w:color w:val="595959"/>
        <w:sz w:val="18"/>
        <w:szCs w:val="18"/>
      </w:rPr>
      <w:t xml:space="preserve">	[COMPANY]-FCI-MP-001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40" w:before="40"/>
        <w:ind w:left="720" w:hanging="360"/>
      </w:pPr>
    </w:lvl>
  </w:abstractNum>
  <w:abstractNum w:abstractNumId="3" w15:restartNumberingAfterBreak="0">
    <w:multiLevelType w:val="hybridMultilevel"/>
    <w:lvl w:ilvl="0" w15:tentative="1">
      <w:start w:val="1"/>
      <w:numFmt w:val="decimal"/>
      <w:lvlText w:val="%1."/>
      <w:lvlJc w:val="left"/>
      <w:pPr>
        <w:spacing w:after="40" w:before="40"/>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4E79" w:sz="4" w:space="4"/>
      </w:pBdr>
      <w:spacing w:after="120" w:before="280"/>
      <w:outlineLvl w:val="0"/>
    </w:pPr>
    <w:rPr>
      <w:rFonts w:ascii="Arial" w:cs="Arial" w:eastAsia="Arial" w:hAnsi="Arial"/>
      <w:b/>
      <w:bCs/>
      <w:color w:val="1F4E79"/>
      <w:sz w:val="28"/>
      <w:szCs w:val="28"/>
    </w:rPr>
  </w:style>
  <w:style w:type="paragraph" w:styleId="Heading2">
    <w:name w:val="Heading 2"/>
    <w:basedOn w:val="Normal"/>
    <w:next w:val="Normal"/>
    <w:qFormat/>
    <w:pPr>
      <w:spacing w:after="80" w:before="200"/>
      <w:outlineLvl w:val="1"/>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2026-05-12T15:12:58.682Z</dcterms:created>
  <dcterms:modified xsi:type="dcterms:W3CDTF">2026-05-12T15:12:58.682Z</dcterms:modified>
</cp:coreProperties>
</file>

<file path=docProps/custom.xml><?xml version="1.0" encoding="utf-8"?>
<Properties xmlns="http://schemas.openxmlformats.org/officeDocument/2006/custom-properties" xmlns:vt="http://schemas.openxmlformats.org/officeDocument/2006/docPropsVTypes"/>
</file>