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2880"/>
        <w:jc w:val="center"/>
      </w:pPr>
      <w:r>
        <w:rPr>
          <w:rFonts w:ascii="Arial" w:cs="Arial" w:eastAsia="Arial" w:hAnsi="Arial"/>
          <w:b/>
          <w:bCs/>
          <w:color w:val="1F4E79"/>
          <w:sz w:val="56"/>
          <w:szCs w:val="56"/>
        </w:rPr>
        <w:t xml:space="preserve">[Company Name]</w:t>
      </w:r>
    </w:p>
    <w:p>
      <w:pPr>
        <w:spacing w:after="240" w:before="0"/>
        <w:jc w:val="center"/>
      </w:pPr>
      <w:r>
        <w:rPr>
          <w:rFonts w:ascii="Arial" w:cs="Arial" w:eastAsia="Arial" w:hAnsi="Arial"/>
          <w:b/>
          <w:bCs/>
          <w:color w:val="2E75B6"/>
          <w:sz w:val="40"/>
          <w:szCs w:val="40"/>
        </w:rPr>
        <w:t xml:space="preserve">Federal Contract Information (FCI) Security Policy</w:t>
      </w:r>
    </w:p>
    <w:p>
      <w:pPr>
        <w:spacing w:after="120" w:before="0"/>
        <w:jc w:val="center"/>
      </w:pPr>
      <w:r>
        <w:rPr>
          <w:rFonts w:ascii="Arial" w:cs="Arial" w:eastAsia="Arial" w:hAnsi="Arial"/>
          <w:color w:val="595959"/>
          <w:sz w:val="28"/>
          <w:szCs w:val="28"/>
        </w:rPr>
        <w:t xml:space="preserve">CMMC Level 1 Compliance Document</w:t>
      </w:r>
    </w:p>
    <w:p>
      <w:pPr>
        <w:spacing w:after="6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Document Number: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[COMPANY]-FCI-POL-001</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Version: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1.0</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Effective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[Month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Next Review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[Month Year + 1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Classification: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Internal Use Only</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Prepared By: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 Title]</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bCs/>
                <w:sz w:val="20"/>
                <w:szCs w:val="20"/>
              </w:rPr>
              <w:t xml:space="preserve">Approved By: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 Title]</w:t>
            </w:r>
          </w:p>
        </w:tc>
      </w:tr>
    </w:tbl>
    <w:p>
      <w:r>
        <w:br/>
      </w:r>
    </w:p>
    <w:p>
      <w:pPr>
        <w:pStyle w:val="Heading1"/>
        <w:spacing w:after="120" w:before="280"/>
      </w:pPr>
      <w:r>
        <w:rPr>
          <w:rFonts w:ascii="Arial" w:cs="Arial" w:eastAsia="Arial" w:hAnsi="Arial"/>
          <w:b/>
          <w:bCs/>
          <w:color w:val="1F4E79"/>
          <w:sz w:val="28"/>
          <w:szCs w:val="28"/>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2880"/>
        <w:gridCol w:w="4080"/>
      </w:tblGrid>
      <w:tr>
        <w:trPr>
          <w:tblHeader/>
        </w:trPr>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Version</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Date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Author</w:t>
            </w:r>
          </w:p>
        </w:tc>
        <w:tc>
          <w:tcPr>
            <w:tcW w:type="dxa" w:w="40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Description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1.0</w:t>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[Date]</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w:t>
            </w:r>
          </w:p>
        </w:tc>
        <w:tc>
          <w:tcPr>
            <w:tcW w:type="dxa" w:w="40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Initial release</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
            </w:r>
          </w:p>
        </w:tc>
        <w:tc>
          <w:tcPr>
            <w:tcW w:type="dxa" w:w="4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1. Purpose</w:t>
      </w:r>
    </w:p>
    <w:p>
      <w:pPr>
        <w:spacing w:after="80" w:before="80"/>
      </w:pPr>
      <w:r>
        <w:rPr>
          <w:rFonts w:ascii="Arial" w:cs="Arial" w:eastAsia="Arial" w:hAnsi="Arial"/>
          <w:b w:val="false"/>
          <w:bCs w:val="false"/>
          <w:sz w:val="20"/>
          <w:szCs w:val="20"/>
        </w:rPr>
        <w:t xml:space="preserve">[Company Name] (the "Company") is obligated under Federal Acquisition Regulation (FAR) Clause 52.204-21 to protect Federal Contract Information (FCI) received from or generated on behalf of the federal government in the performance of federal contracts.</w:t>
      </w:r>
    </w:p>
    <w:p>
      <w:pPr>
        <w:spacing w:after="60" w:before="60"/>
      </w:pPr>
      <w:r>
        <w:t xml:space="preserve"/>
      </w:r>
    </w:p>
    <w:p>
      <w:pPr>
        <w:spacing w:after="80" w:before="80"/>
      </w:pPr>
      <w:r>
        <w:rPr>
          <w:rFonts w:ascii="Arial" w:cs="Arial" w:eastAsia="Arial" w:hAnsi="Arial"/>
          <w:b w:val="false"/>
          <w:bCs w:val="false"/>
          <w:sz w:val="20"/>
          <w:szCs w:val="20"/>
        </w:rPr>
        <w:t xml:space="preserve">This FCI Security Policy establishes the mandatory security requirements for all personnel, systems, and processes that handle FCI. It implements all seventeen (17) practices required under CMMC Level 1 and satisfies the basic safeguarding requirements of FAR 52.204-21.</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2. Scope</w:t>
      </w:r>
    </w:p>
    <w:p>
      <w:pPr>
        <w:spacing w:after="80" w:before="80"/>
      </w:pPr>
      <w:r>
        <w:rPr>
          <w:rFonts w:ascii="Arial" w:cs="Arial" w:eastAsia="Arial" w:hAnsi="Arial"/>
          <w:b w:val="false"/>
          <w:bCs w:val="false"/>
          <w:sz w:val="20"/>
          <w:szCs w:val="20"/>
        </w:rPr>
        <w:t xml:space="preserve">This policy applies to:</w:t>
      </w:r>
    </w:p>
    <w:p>
      <w:pPr>
        <w:pStyle w:val="ListParagraph"/>
        <w:numPr>
          <w:ilvl w:val="0"/>
          <w:numId w:val="2"/>
        </w:numPr>
        <w:spacing w:after="40" w:before="40"/>
      </w:pPr>
      <w:r>
        <w:rPr>
          <w:rFonts w:ascii="Arial" w:cs="Arial" w:eastAsia="Arial" w:hAnsi="Arial"/>
          <w:sz w:val="20"/>
          <w:szCs w:val="20"/>
        </w:rPr>
        <w:t xml:space="preserve">All employees, contractors, and authorized third parties who access, process, store, or transmit FCI</w:t>
      </w:r>
    </w:p>
    <w:p>
      <w:pPr>
        <w:pStyle w:val="ListParagraph"/>
        <w:numPr>
          <w:ilvl w:val="0"/>
          <w:numId w:val="2"/>
        </w:numPr>
        <w:spacing w:after="40" w:before="40"/>
      </w:pPr>
      <w:r>
        <w:rPr>
          <w:rFonts w:ascii="Arial" w:cs="Arial" w:eastAsia="Arial" w:hAnsi="Arial"/>
          <w:sz w:val="20"/>
          <w:szCs w:val="20"/>
        </w:rPr>
        <w:t xml:space="preserve">All Company-owned and managed systems that store, process, or transmit FCI</w:t>
      </w:r>
    </w:p>
    <w:p>
      <w:pPr>
        <w:pStyle w:val="ListParagraph"/>
        <w:numPr>
          <w:ilvl w:val="0"/>
          <w:numId w:val="2"/>
        </w:numPr>
        <w:spacing w:after="40" w:before="40"/>
      </w:pPr>
      <w:r>
        <w:rPr>
          <w:rFonts w:ascii="Arial" w:cs="Arial" w:eastAsia="Arial" w:hAnsi="Arial"/>
          <w:sz w:val="20"/>
          <w:szCs w:val="20"/>
        </w:rPr>
        <w:t xml:space="preserve">All physical locations where FCI is accessed, processed, or stored</w:t>
      </w:r>
    </w:p>
    <w:p>
      <w:pPr>
        <w:pStyle w:val="ListParagraph"/>
        <w:numPr>
          <w:ilvl w:val="0"/>
          <w:numId w:val="2"/>
        </w:numPr>
        <w:spacing w:after="40" w:before="40"/>
      </w:pPr>
      <w:r>
        <w:rPr>
          <w:rFonts w:ascii="Arial" w:cs="Arial" w:eastAsia="Arial" w:hAnsi="Arial"/>
          <w:sz w:val="20"/>
          <w:szCs w:val="20"/>
        </w:rPr>
        <w:t xml:space="preserve">All third-party service providers and cloud services that handle FCI on behalf of the Company</w:t>
      </w:r>
    </w:p>
    <w:p>
      <w:pPr>
        <w:spacing w:after="60" w:before="60"/>
      </w:pPr>
      <w:r>
        <w:t xml:space="preserve"/>
      </w:r>
    </w:p>
    <w:p>
      <w:pPr>
        <w:spacing w:after="80" w:before="80"/>
      </w:pPr>
      <w:r>
        <w:rPr>
          <w:rFonts w:ascii="Arial" w:cs="Arial" w:eastAsia="Arial" w:hAnsi="Arial"/>
          <w:b w:val="false"/>
          <w:bCs w:val="false"/>
          <w:sz w:val="20"/>
          <w:szCs w:val="20"/>
        </w:rPr>
        <w:t xml:space="preserve">FCI means information, not intended for public release, that is provided by or generated for the Government under a contract to develop or deliver a product or service to the Government. FCI does not include information provided by the Government to the public or simple transactional information.</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3. Definitions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rPr>
          <w:tblHeader/>
        </w:trPr>
        <w:tc>
          <w:tcPr>
            <w:tcW w:type="dxa" w:w="2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Term</w:t>
            </w:r>
          </w:p>
        </w:tc>
        <w:tc>
          <w:tcPr>
            <w:tcW w:type="dxa" w:w="69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Definition</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FCI</w:t>
            </w:r>
          </w:p>
        </w:tc>
        <w:tc>
          <w:tcPr>
            <w:tcW w:type="dxa" w:w="6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Federal Contract Information — information, not intended for public release, provided by or generated for the Government under a contract.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CMMC</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Cybersecurity Maturity Model Certification — DoD framework for assessing cybersecurity posture of defense contractors.</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FCI Environment</w:t>
            </w:r>
          </w:p>
        </w:tc>
        <w:tc>
          <w:tcPr>
            <w:tcW w:type="dxa" w:w="6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The collection of systems, applications, users, and data that store, process, or transmit FCI.</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IS Security Manager</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The individual designated by [Company Name] as responsible for information security oversight.</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MSP / IT Provider</w:t>
            </w:r>
          </w:p>
        </w:tc>
        <w:tc>
          <w:tcPr>
            <w:tcW w:type="dxa" w:w="6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Managed Service Provider or IT support organization providing technical services to [Company Name].</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Authorized User</w:t>
            </w:r>
          </w:p>
        </w:tc>
        <w:tc>
          <w:tcPr>
            <w:tcW w:type="dxa" w:w="6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An individual who has been granted access to FCI systems through the formal provisioning process.</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ESP</w:t>
            </w:r>
          </w:p>
        </w:tc>
        <w:tc>
          <w:tcPr>
            <w:tcW w:type="dxa" w:w="6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External Service Provider — a cloud or SaaS provider that stores, processes, or transmits FCI.</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4. FCI Security Policy Requirements</w:t>
      </w:r>
    </w:p>
    <w:p>
      <w:pPr>
        <w:spacing w:after="80" w:before="80"/>
      </w:pPr>
      <w:r>
        <w:rPr>
          <w:rFonts w:ascii="Arial" w:cs="Arial" w:eastAsia="Arial" w:hAnsi="Arial"/>
          <w:b w:val="false"/>
          <w:bCs w:val="false"/>
          <w:sz w:val="20"/>
          <w:szCs w:val="20"/>
        </w:rPr>
        <w:t xml:space="preserve">The following requirements are mandatory for all personnel and systems within the FCI environment. These requirements implement the seventeen (17) CMMC Level 1 practices and the basic safeguarding requirements of FAR Clause 52.204-21.</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4.1 Access Control (AC)</w:t>
      </w:r>
    </w:p>
    <w:p>
      <w:pPr>
        <w:spacing w:after="40" w:before="120"/>
      </w:pPr>
      <w:r>
        <w:rPr>
          <w:rFonts w:ascii="Arial" w:cs="Arial" w:eastAsia="Arial" w:hAnsi="Arial"/>
          <w:b/>
          <w:bCs/>
          <w:sz w:val="20"/>
          <w:szCs w:val="20"/>
        </w:rPr>
        <w:t xml:space="preserve">AC.1.001 / 3.1.1 — Limit System Access to Authorized Users</w:t>
      </w:r>
    </w:p>
    <w:p>
      <w:pPr>
        <w:spacing w:after="80" w:before="80"/>
      </w:pPr>
      <w:r>
        <w:rPr>
          <w:rFonts w:ascii="Arial" w:cs="Arial" w:eastAsia="Arial" w:hAnsi="Arial"/>
          <w:b w:val="false"/>
          <w:bCs w:val="false"/>
          <w:sz w:val="20"/>
          <w:szCs w:val="20"/>
        </w:rPr>
        <w:t xml:space="preserve">[Company Name] limits access to FCI systems and data to authorized users, processes acting on behalf of authorized users, and devices (including other systems). Access to FCI is granted on a need-to-know basis consistent with each employee's job function. Access rights are reviewed at least semi-annually and revoked promptly upon separation or role change.</w:t>
      </w:r>
    </w:p>
    <w:p>
      <w:pPr>
        <w:spacing w:after="60" w:before="60"/>
      </w:pPr>
      <w:r>
        <w:t xml:space="preserve"/>
      </w:r>
    </w:p>
    <w:p>
      <w:pPr>
        <w:spacing w:after="40" w:before="120"/>
      </w:pPr>
      <w:r>
        <w:rPr>
          <w:rFonts w:ascii="Arial" w:cs="Arial" w:eastAsia="Arial" w:hAnsi="Arial"/>
          <w:b/>
          <w:bCs/>
          <w:sz w:val="20"/>
          <w:szCs w:val="20"/>
        </w:rPr>
        <w:t xml:space="preserve">AC.1.002 / 3.1.2 — Limit System Access to Authorized Transactions and Functions</w:t>
      </w:r>
    </w:p>
    <w:p>
      <w:pPr>
        <w:spacing w:after="80" w:before="80"/>
      </w:pPr>
      <w:r>
        <w:rPr>
          <w:rFonts w:ascii="Arial" w:cs="Arial" w:eastAsia="Arial" w:hAnsi="Arial"/>
          <w:b w:val="false"/>
          <w:bCs w:val="false"/>
          <w:sz w:val="20"/>
          <w:szCs w:val="20"/>
        </w:rPr>
        <w:t xml:space="preserve">Access to FCI systems is restricted to the types of transactions and functions that authorized users are permitted to execute. Role-based access controls are implemented to ensure users can only perform actions required by their job duties. Privileged access (administrative rights) is restricted to designated IT personnel and logged.</w:t>
      </w:r>
    </w:p>
    <w:p>
      <w:pPr>
        <w:spacing w:after="60" w:before="60"/>
      </w:pPr>
      <w:r>
        <w:t xml:space="preserve"/>
      </w:r>
    </w:p>
    <w:p>
      <w:pPr>
        <w:spacing w:after="40" w:before="120"/>
      </w:pPr>
      <w:r>
        <w:rPr>
          <w:rFonts w:ascii="Arial" w:cs="Arial" w:eastAsia="Arial" w:hAnsi="Arial"/>
          <w:b/>
          <w:bCs/>
          <w:sz w:val="20"/>
          <w:szCs w:val="20"/>
        </w:rPr>
        <w:t xml:space="preserve">AC.1.003 / 3.1.21 — Control the Use of Portable Storage Devices</w:t>
      </w:r>
    </w:p>
    <w:p>
      <w:pPr>
        <w:spacing w:after="80" w:before="80"/>
      </w:pPr>
      <w:r>
        <w:rPr>
          <w:rFonts w:ascii="Arial" w:cs="Arial" w:eastAsia="Arial" w:hAnsi="Arial"/>
          <w:b w:val="false"/>
          <w:bCs w:val="false"/>
          <w:sz w:val="20"/>
          <w:szCs w:val="20"/>
        </w:rPr>
        <w:t xml:space="preserve">The use of portable storage devices (USB drives, external hard drives, removable media) on FCI systems is prohibited unless explicitly authorized. Authorized exceptions require written approval from the IS Security Manager and must be documented. Technical controls are implemented to enforce this restriction where feasible.</w:t>
      </w:r>
    </w:p>
    <w:p>
      <w:pPr>
        <w:spacing w:after="60" w:before="60"/>
      </w:pPr>
      <w:r>
        <w:t xml:space="preserve"/>
      </w:r>
    </w:p>
    <w:p>
      <w:pPr>
        <w:spacing w:after="40" w:before="120"/>
      </w:pPr>
      <w:r>
        <w:rPr>
          <w:rFonts w:ascii="Arial" w:cs="Arial" w:eastAsia="Arial" w:hAnsi="Arial"/>
          <w:b/>
          <w:bCs/>
          <w:sz w:val="20"/>
          <w:szCs w:val="20"/>
        </w:rPr>
        <w:t xml:space="preserve">AC.1.004 / 3.1.22 — Control FCI Posted on Publicly Accessible Systems</w:t>
      </w:r>
    </w:p>
    <w:p>
      <w:pPr>
        <w:spacing w:after="80" w:before="80"/>
      </w:pPr>
      <w:r>
        <w:rPr>
          <w:rFonts w:ascii="Arial" w:cs="Arial" w:eastAsia="Arial" w:hAnsi="Arial"/>
          <w:b w:val="false"/>
          <w:bCs w:val="false"/>
          <w:sz w:val="20"/>
          <w:szCs w:val="20"/>
        </w:rPr>
        <w:t xml:space="preserve">[Company Name] does not post FCI to publicly accessible systems (websites, public cloud storage, social media). Personnel are prohibited from storing or transmitting FCI to any system accessible to the general public. All public-facing content is reviewed prior to publication to confirm no FCI is included.</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4.2 Identification and Authentication (IA)</w:t>
      </w:r>
    </w:p>
    <w:p>
      <w:pPr>
        <w:spacing w:after="40" w:before="120"/>
      </w:pPr>
      <w:r>
        <w:rPr>
          <w:rFonts w:ascii="Arial" w:cs="Arial" w:eastAsia="Arial" w:hAnsi="Arial"/>
          <w:b/>
          <w:bCs/>
          <w:sz w:val="20"/>
          <w:szCs w:val="20"/>
        </w:rPr>
        <w:t xml:space="preserve">IA.1.076 / 3.5.1 — Identify Information System Users</w:t>
      </w:r>
    </w:p>
    <w:p>
      <w:pPr>
        <w:spacing w:after="80" w:before="80"/>
      </w:pPr>
      <w:r>
        <w:rPr>
          <w:rFonts w:ascii="Arial" w:cs="Arial" w:eastAsia="Arial" w:hAnsi="Arial"/>
          <w:b w:val="false"/>
          <w:bCs w:val="false"/>
          <w:sz w:val="20"/>
          <w:szCs w:val="20"/>
        </w:rPr>
        <w:t xml:space="preserve">All users of FCI systems are uniquely identified. Generic, shared, or group accounts are prohibited on systems that store or process FCI. Each authorized user is assigned an individual account that is traceable to a specific person. A current User Access List is maintained and reviewed at least semi-annually.</w:t>
      </w:r>
    </w:p>
    <w:p>
      <w:pPr>
        <w:spacing w:after="60" w:before="60"/>
      </w:pPr>
      <w:r>
        <w:t xml:space="preserve"/>
      </w:r>
    </w:p>
    <w:p>
      <w:pPr>
        <w:spacing w:after="40" w:before="120"/>
      </w:pPr>
      <w:r>
        <w:rPr>
          <w:rFonts w:ascii="Arial" w:cs="Arial" w:eastAsia="Arial" w:hAnsi="Arial"/>
          <w:b/>
          <w:bCs/>
          <w:sz w:val="20"/>
          <w:szCs w:val="20"/>
        </w:rPr>
        <w:t xml:space="preserve">IA.1.077 / 3.5.2 — Authenticate Users, Devices, and Processes</w:t>
      </w:r>
    </w:p>
    <w:p>
      <w:pPr>
        <w:spacing w:after="80" w:before="80"/>
      </w:pPr>
      <w:r>
        <w:rPr>
          <w:rFonts w:ascii="Arial" w:cs="Arial" w:eastAsia="Arial" w:hAnsi="Arial"/>
          <w:b w:val="false"/>
          <w:bCs w:val="false"/>
          <w:sz w:val="20"/>
          <w:szCs w:val="20"/>
        </w:rPr>
        <w:t xml:space="preserve">All users must authenticate before accessing FCI systems using credentials assigned to their individual account. Passwords must meet minimum complexity requirements: at least 12 characters, including uppercase, lowercase, numbers, and special characters. Passwords are changed at least annually and immediately upon suspected compromise. Multi-factor authentication (MFA) is strongly recommended and required for remote access.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4.3 Media Protection (MP)</w:t>
      </w:r>
    </w:p>
    <w:p>
      <w:pPr>
        <w:spacing w:after="40" w:before="120"/>
      </w:pPr>
      <w:r>
        <w:rPr>
          <w:rFonts w:ascii="Arial" w:cs="Arial" w:eastAsia="Arial" w:hAnsi="Arial"/>
          <w:b/>
          <w:bCs/>
          <w:sz w:val="20"/>
          <w:szCs w:val="20"/>
        </w:rPr>
        <w:t xml:space="preserve">MP.1.118 / 3.8.3 — Sanitize or Destroy Media Before Disposal or Reuse</w:t>
      </w:r>
    </w:p>
    <w:p>
      <w:pPr>
        <w:spacing w:after="80" w:before="80"/>
      </w:pPr>
      <w:r>
        <w:rPr>
          <w:rFonts w:ascii="Arial" w:cs="Arial" w:eastAsia="Arial" w:hAnsi="Arial"/>
          <w:b w:val="false"/>
          <w:bCs w:val="false"/>
          <w:sz w:val="20"/>
          <w:szCs w:val="20"/>
        </w:rPr>
        <w:t xml:space="preserve">Physical and digital media containing FCI is sanitized prior to disposal or reuse. Sanitization follows NIST SP 800-88 guidelines: overwriting for digital media and physical destruction for media that cannot be sanitized. All media sanitization events are documented in the Media Sanitization Log maintained by the IS Security Manager or designated IT staff.</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4.4 Physical Protection (PE)</w:t>
      </w:r>
    </w:p>
    <w:p>
      <w:pPr>
        <w:spacing w:after="40" w:before="120"/>
      </w:pPr>
      <w:r>
        <w:rPr>
          <w:rFonts w:ascii="Arial" w:cs="Arial" w:eastAsia="Arial" w:hAnsi="Arial"/>
          <w:b/>
          <w:bCs/>
          <w:sz w:val="20"/>
          <w:szCs w:val="20"/>
        </w:rPr>
        <w:t xml:space="preserve">PE.1.131 / 3.10.1 — Limit Physical Access to Authorized Individuals</w:t>
      </w:r>
    </w:p>
    <w:p>
      <w:pPr>
        <w:spacing w:after="80" w:before="80"/>
      </w:pPr>
      <w:r>
        <w:rPr>
          <w:rFonts w:ascii="Arial" w:cs="Arial" w:eastAsia="Arial" w:hAnsi="Arial"/>
          <w:b w:val="false"/>
          <w:bCs w:val="false"/>
          <w:sz w:val="20"/>
          <w:szCs w:val="20"/>
        </w:rPr>
        <w:t xml:space="preserve">Physical access to [Company Name] facilities where FCI is processed or stored is limited to authorized personnel. Access controls (keys, badge readers, or equivalent) are implemented at all FCI-handling locations. Visitor access is controlled, logged, and escorted at all times within secure areas.</w:t>
      </w:r>
    </w:p>
    <w:p>
      <w:pPr>
        <w:spacing w:after="60" w:before="60"/>
      </w:pPr>
      <w:r>
        <w:t xml:space="preserve"/>
      </w:r>
    </w:p>
    <w:p>
      <w:pPr>
        <w:spacing w:after="40" w:before="120"/>
      </w:pPr>
      <w:r>
        <w:rPr>
          <w:rFonts w:ascii="Arial" w:cs="Arial" w:eastAsia="Arial" w:hAnsi="Arial"/>
          <w:b/>
          <w:bCs/>
          <w:sz w:val="20"/>
          <w:szCs w:val="20"/>
        </w:rPr>
        <w:t xml:space="preserve">PE.1.132 / 3.10.3 — Escort Visitors and Monitor Visitor Activity</w:t>
      </w:r>
    </w:p>
    <w:p>
      <w:pPr>
        <w:spacing w:after="80" w:before="80"/>
      </w:pPr>
      <w:r>
        <w:rPr>
          <w:rFonts w:ascii="Arial" w:cs="Arial" w:eastAsia="Arial" w:hAnsi="Arial"/>
          <w:b w:val="false"/>
          <w:bCs w:val="false"/>
          <w:sz w:val="20"/>
          <w:szCs w:val="20"/>
        </w:rPr>
        <w:t xml:space="preserve">All visitors to facilities where FCI is handled are escorted by authorized Company personnel. Visitor logs are maintained at all FCI-handling locations and include the visitor's name, organization, purpose, date, and time of entry and exit. Visitor logs are retained for a minimum of three years.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4.5 System and Communications Protection (SC)</w:t>
      </w:r>
    </w:p>
    <w:p>
      <w:pPr>
        <w:spacing w:after="40" w:before="120"/>
      </w:pPr>
      <w:r>
        <w:rPr>
          <w:rFonts w:ascii="Arial" w:cs="Arial" w:eastAsia="Arial" w:hAnsi="Arial"/>
          <w:b/>
          <w:bCs/>
          <w:sz w:val="20"/>
          <w:szCs w:val="20"/>
        </w:rPr>
        <w:t xml:space="preserve">SC.1.175 / 3.13.1 — Monitor, Control, and Protect Communications</w:t>
      </w:r>
    </w:p>
    <w:p>
      <w:pPr>
        <w:spacing w:after="80" w:before="80"/>
      </w:pPr>
      <w:r>
        <w:rPr>
          <w:rFonts w:ascii="Arial" w:cs="Arial" w:eastAsia="Arial" w:hAnsi="Arial"/>
          <w:b w:val="false"/>
          <w:bCs w:val="false"/>
          <w:sz w:val="20"/>
          <w:szCs w:val="20"/>
        </w:rPr>
        <w:t xml:space="preserve">[Company Name] monitors and controls all communications at the external boundary and key internal boundaries of FCI systems. Firewall and network security controls are implemented to prevent unauthorized access from external networks. All remote access to FCI systems is conducted over encrypted connections (VPN or equivalent).</w:t>
      </w:r>
    </w:p>
    <w:p>
      <w:pPr>
        <w:spacing w:after="60" w:before="60"/>
      </w:pPr>
      <w:r>
        <w:t xml:space="preserve"/>
      </w:r>
    </w:p>
    <w:p>
      <w:pPr>
        <w:spacing w:after="40" w:before="120"/>
      </w:pPr>
      <w:r>
        <w:rPr>
          <w:rFonts w:ascii="Arial" w:cs="Arial" w:eastAsia="Arial" w:hAnsi="Arial"/>
          <w:b/>
          <w:bCs/>
          <w:sz w:val="20"/>
          <w:szCs w:val="20"/>
        </w:rPr>
        <w:t xml:space="preserve">SC.1.176 / 3.13.5 — Implement Subnetworks for Publicly Accessible Components</w:t>
      </w:r>
    </w:p>
    <w:p>
      <w:pPr>
        <w:spacing w:after="80" w:before="80"/>
      </w:pPr>
      <w:r>
        <w:rPr>
          <w:rFonts w:ascii="Arial" w:cs="Arial" w:eastAsia="Arial" w:hAnsi="Arial"/>
          <w:b w:val="false"/>
          <w:bCs w:val="false"/>
          <w:sz w:val="20"/>
          <w:szCs w:val="20"/>
        </w:rPr>
        <w:t xml:space="preserve">Publicly accessible components (web servers, external portals) are separated from internal systems that store or process FCI through network segmentation. FCI systems are not directly accessible from the public internet. Where cloud services host FCI, access is restricted through authentication and network controls.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4.6 System and Information Integrity (SI)</w:t>
      </w:r>
    </w:p>
    <w:p>
      <w:pPr>
        <w:spacing w:after="40" w:before="120"/>
      </w:pPr>
      <w:r>
        <w:rPr>
          <w:rFonts w:ascii="Arial" w:cs="Arial" w:eastAsia="Arial" w:hAnsi="Arial"/>
          <w:b/>
          <w:bCs/>
          <w:sz w:val="20"/>
          <w:szCs w:val="20"/>
        </w:rPr>
        <w:t xml:space="preserve">SI.1.210 / 3.14.1 — Identify, Report, and Correct Information and System Flaws</w:t>
      </w:r>
    </w:p>
    <w:p>
      <w:pPr>
        <w:spacing w:after="80" w:before="80"/>
      </w:pPr>
      <w:r>
        <w:rPr>
          <w:rFonts w:ascii="Arial" w:cs="Arial" w:eastAsia="Arial" w:hAnsi="Arial"/>
          <w:b w:val="false"/>
          <w:bCs w:val="false"/>
          <w:sz w:val="20"/>
          <w:szCs w:val="20"/>
        </w:rPr>
        <w:t xml:space="preserve">[Company Name] identifies, reports, and corrects information system flaws in a timely manner. Security patches and updates are applied to operating systems and applications on FCI systems within [30] days of release for critical patches and [90] days for non-critical patches. Patch compliance is tracked and reported by the IT provider.</w:t>
      </w:r>
    </w:p>
    <w:p>
      <w:pPr>
        <w:spacing w:after="60" w:before="60"/>
      </w:pPr>
      <w:r>
        <w:t xml:space="preserve"/>
      </w:r>
    </w:p>
    <w:p>
      <w:pPr>
        <w:spacing w:after="40" w:before="120"/>
      </w:pPr>
      <w:r>
        <w:rPr>
          <w:rFonts w:ascii="Arial" w:cs="Arial" w:eastAsia="Arial" w:hAnsi="Arial"/>
          <w:b/>
          <w:bCs/>
          <w:sz w:val="20"/>
          <w:szCs w:val="20"/>
        </w:rPr>
        <w:t xml:space="preserve">SI.1.211 / 3.14.2 — Provide Protection from Malicious Code</w:t>
      </w:r>
    </w:p>
    <w:p>
      <w:pPr>
        <w:spacing w:after="80" w:before="80"/>
      </w:pPr>
      <w:r>
        <w:rPr>
          <w:rFonts w:ascii="Arial" w:cs="Arial" w:eastAsia="Arial" w:hAnsi="Arial"/>
          <w:b w:val="false"/>
          <w:bCs w:val="false"/>
          <w:sz w:val="20"/>
          <w:szCs w:val="20"/>
        </w:rPr>
        <w:t xml:space="preserve">Malicious code protection (antivirus/endpoint detection and response) is deployed on all FCI systems and updated automatically. Scans are performed regularly and upon detection of suspicious activity. The IT provider monitors endpoint protection status and alerts the IS Security Manager of any threats or gaps in coverage.</w:t>
      </w:r>
    </w:p>
    <w:p>
      <w:pPr>
        <w:spacing w:after="60" w:before="60"/>
      </w:pPr>
      <w:r>
        <w:t xml:space="preserve"/>
      </w:r>
    </w:p>
    <w:p>
      <w:pPr>
        <w:spacing w:after="40" w:before="120"/>
      </w:pPr>
      <w:r>
        <w:rPr>
          <w:rFonts w:ascii="Arial" w:cs="Arial" w:eastAsia="Arial" w:hAnsi="Arial"/>
          <w:b/>
          <w:bCs/>
          <w:sz w:val="20"/>
          <w:szCs w:val="20"/>
        </w:rPr>
        <w:t xml:space="preserve">SI.1.212 / 3.14.4 — Update Malicious Code Protection Mechanisms</w:t>
      </w:r>
    </w:p>
    <w:p>
      <w:pPr>
        <w:spacing w:after="80" w:before="80"/>
      </w:pPr>
      <w:r>
        <w:rPr>
          <w:rFonts w:ascii="Arial" w:cs="Arial" w:eastAsia="Arial" w:hAnsi="Arial"/>
          <w:b w:val="false"/>
          <w:bCs w:val="false"/>
          <w:sz w:val="20"/>
          <w:szCs w:val="20"/>
        </w:rPr>
        <w:t xml:space="preserve">Malicious code protection mechanisms are updated whenever new releases are available. Automatic updates are enabled on all FCI systems. The IS Security Manager or IT provider verifies that signature updates and software version updates are applied in a timely manner and reviews protection status at least monthly.</w:t>
      </w:r>
    </w:p>
    <w:p>
      <w:pPr>
        <w:spacing w:after="60" w:before="60"/>
      </w:pPr>
      <w:r>
        <w:t xml:space="preserve"/>
      </w:r>
    </w:p>
    <w:p>
      <w:pPr>
        <w:spacing w:after="40" w:before="120"/>
      </w:pPr>
      <w:r>
        <w:rPr>
          <w:rFonts w:ascii="Arial" w:cs="Arial" w:eastAsia="Arial" w:hAnsi="Arial"/>
          <w:b/>
          <w:bCs/>
          <w:sz w:val="20"/>
          <w:szCs w:val="20"/>
        </w:rPr>
        <w:t xml:space="preserve">SI.1.213 / 3.14.5 — Perform Periodic Scans and Real-Time Scanning</w:t>
      </w:r>
    </w:p>
    <w:p>
      <w:pPr>
        <w:spacing w:after="80" w:before="80"/>
      </w:pPr>
      <w:r>
        <w:rPr>
          <w:rFonts w:ascii="Arial" w:cs="Arial" w:eastAsia="Arial" w:hAnsi="Arial"/>
          <w:b w:val="false"/>
          <w:bCs w:val="false"/>
          <w:sz w:val="20"/>
          <w:szCs w:val="20"/>
        </w:rPr>
        <w:t xml:space="preserve">FCI systems are scanned for malicious code at least weekly using automated tools. Real-time scanning is enabled on all endpoints. Scan results are reviewed by the IS Security Manager or IT provider and any identified threats are remediated promptly. Scan logs are retained for a minimum of one year.</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4.7 Awareness and Training (AT)</w:t>
      </w:r>
    </w:p>
    <w:p>
      <w:pPr>
        <w:spacing w:after="40" w:before="120"/>
      </w:pPr>
      <w:r>
        <w:rPr>
          <w:rFonts w:ascii="Arial" w:cs="Arial" w:eastAsia="Arial" w:hAnsi="Arial"/>
          <w:b/>
          <w:bCs/>
          <w:sz w:val="20"/>
          <w:szCs w:val="20"/>
        </w:rPr>
        <w:t xml:space="preserve">AT.1.101 / 3.2.1 — Ensure Personnel Awareness of Security Risks</w:t>
      </w:r>
    </w:p>
    <w:p>
      <w:pPr>
        <w:spacing w:after="80" w:before="80"/>
      </w:pPr>
      <w:r>
        <w:rPr>
          <w:rFonts w:ascii="Arial" w:cs="Arial" w:eastAsia="Arial" w:hAnsi="Arial"/>
          <w:b w:val="false"/>
          <w:bCs w:val="false"/>
          <w:sz w:val="20"/>
          <w:szCs w:val="20"/>
        </w:rPr>
        <w:t xml:space="preserve">All personnel with access to FCI receive security awareness training upon hire and at least annually thereafter. Training covers FCI handling requirements, phishing and social engineering threats, password security, incident reporting, physical security, and acceptable use of Company systems. Training completion is documented in the Training Completion Log.</w:t>
      </w:r>
    </w:p>
    <w:p>
      <w:pPr>
        <w:spacing w:after="60" w:before="60"/>
      </w:pPr>
      <w:r>
        <w:t xml:space="preserve"/>
      </w:r>
    </w:p>
    <w:p>
      <w:pPr>
        <w:spacing w:after="40" w:before="120"/>
      </w:pPr>
      <w:r>
        <w:rPr>
          <w:rFonts w:ascii="Arial" w:cs="Arial" w:eastAsia="Arial" w:hAnsi="Arial"/>
          <w:b/>
          <w:bCs/>
          <w:sz w:val="20"/>
          <w:szCs w:val="20"/>
        </w:rPr>
        <w:t xml:space="preserve">AT.1.102 / 3.2.2 — Ensure Personnel Trained to Carry Out Security Responsibilities</w:t>
      </w:r>
    </w:p>
    <w:p>
      <w:pPr>
        <w:spacing w:after="80" w:before="80"/>
      </w:pPr>
      <w:r>
        <w:rPr>
          <w:rFonts w:ascii="Arial" w:cs="Arial" w:eastAsia="Arial" w:hAnsi="Arial"/>
          <w:b w:val="false"/>
          <w:bCs w:val="false"/>
          <w:sz w:val="20"/>
          <w:szCs w:val="20"/>
        </w:rPr>
        <w:t xml:space="preserve">Personnel with specific security responsibilities (IS Security Manager, IT staff, incident response team) receive role-based training appropriate to their function. This includes training on applicable regulations, system administration security, and incident response procedures. Training is completed within 30 days of assignment to a security role and annually thereafter.</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4.8 Incident Response (IR)</w:t>
      </w:r>
    </w:p>
    <w:p>
      <w:pPr>
        <w:spacing w:after="40" w:before="120"/>
      </w:pPr>
      <w:r>
        <w:rPr>
          <w:rFonts w:ascii="Arial" w:cs="Arial" w:eastAsia="Arial" w:hAnsi="Arial"/>
          <w:b/>
          <w:bCs/>
          <w:sz w:val="20"/>
          <w:szCs w:val="20"/>
        </w:rPr>
        <w:t xml:space="preserve">IR.1.100 / 3.6.1 — Establish an Operational Incident Response Capability</w:t>
      </w:r>
    </w:p>
    <w:p>
      <w:pPr>
        <w:spacing w:after="80" w:before="80"/>
      </w:pPr>
      <w:r>
        <w:rPr>
          <w:rFonts w:ascii="Arial" w:cs="Arial" w:eastAsia="Arial" w:hAnsi="Arial"/>
          <w:b w:val="false"/>
          <w:bCs w:val="false"/>
          <w:sz w:val="20"/>
          <w:szCs w:val="20"/>
        </w:rPr>
        <w:t xml:space="preserve">[Company Name] maintains a documented Incident Response Plan that establishes roles, responsibilities, and procedures for detecting, reporting, and responding to security incidents affecting FCI. The plan designates an incident response lead and identifies escalation paths. The plan is reviewed and tested at least annually.</w:t>
      </w:r>
    </w:p>
    <w:p>
      <w:pPr>
        <w:spacing w:after="60" w:before="60"/>
      </w:pPr>
      <w:r>
        <w:t xml:space="preserve"/>
      </w:r>
    </w:p>
    <w:p>
      <w:pPr>
        <w:spacing w:after="40" w:before="120"/>
      </w:pPr>
      <w:r>
        <w:rPr>
          <w:rFonts w:ascii="Arial" w:cs="Arial" w:eastAsia="Arial" w:hAnsi="Arial"/>
          <w:b/>
          <w:bCs/>
          <w:sz w:val="20"/>
          <w:szCs w:val="20"/>
        </w:rPr>
        <w:t xml:space="preserve">IR.1.101 / 3.6.2 — Track, Document, and Report Incidents</w:t>
      </w:r>
    </w:p>
    <w:p>
      <w:pPr>
        <w:spacing w:after="80" w:before="80"/>
      </w:pPr>
      <w:r>
        <w:rPr>
          <w:rFonts w:ascii="Arial" w:cs="Arial" w:eastAsia="Arial" w:hAnsi="Arial"/>
          <w:b w:val="false"/>
          <w:bCs w:val="false"/>
          <w:sz w:val="20"/>
          <w:szCs w:val="20"/>
        </w:rPr>
        <w:t xml:space="preserve">All security incidents involving FCI are tracked in the Security Incident Log. Incidents are documented with date, description, affected systems, response actions, and resolution. Incidents meeting the threshold for reporting under FAR 52.204-21 are reported to the Contracting Officer and, as required, to US-CERT within 72 hours of discovery. Incident records are retained for a minimum of three years.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4.9 Configuration Management (CM)</w:t>
      </w:r>
    </w:p>
    <w:p>
      <w:pPr>
        <w:spacing w:after="40" w:before="120"/>
      </w:pPr>
      <w:r>
        <w:rPr>
          <w:rFonts w:ascii="Arial" w:cs="Arial" w:eastAsia="Arial" w:hAnsi="Arial"/>
          <w:b/>
          <w:bCs/>
          <w:sz w:val="20"/>
          <w:szCs w:val="20"/>
        </w:rPr>
        <w:t xml:space="preserve">CM.1.117 / 3.4.1 — Establish and Maintain Baseline Configurations</w:t>
      </w:r>
    </w:p>
    <w:p>
      <w:pPr>
        <w:spacing w:after="80" w:before="80"/>
      </w:pPr>
      <w:r>
        <w:rPr>
          <w:rFonts w:ascii="Arial" w:cs="Arial" w:eastAsia="Arial" w:hAnsi="Arial"/>
          <w:b w:val="false"/>
          <w:bCs w:val="false"/>
          <w:sz w:val="20"/>
          <w:szCs w:val="20"/>
        </w:rPr>
        <w:t xml:space="preserve">[Company Name] establishes and maintains documented baseline configurations for all FCI systems. Baselines define the approved hardware, software, and security settings for each system type. Deviations from the baseline require change management approval. The IT provider maintains and enforces endpoint configuration baselines on all managed devices.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5. Roles and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rPr>
          <w:tblHeader/>
        </w:trPr>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Role</w:t>
            </w:r>
          </w:p>
        </w:tc>
        <w:tc>
          <w:tcPr>
            <w:tcW w:type="dxa" w:w="64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Responsibilities</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[Executive Sponsor / Owner]</w:t>
            </w:r>
          </w:p>
        </w:tc>
        <w:tc>
          <w:tcPr>
            <w:tcW w:type="dxa" w:w="6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Ultimate accountability for FCI security. Approves this policy and ensures adequate resources are allocated for compliance.</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IS Security Manager</w:t>
            </w:r>
          </w:p>
        </w:tc>
        <w:tc>
          <w:tcPr>
            <w:tcW w:type="dxa" w:w="6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Administers and enforces this policy. Oversees access control, incident response, training, and vendor management. Primary point of contact for FCI security matters.</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IT Provider / MSP</w:t>
            </w:r>
          </w:p>
        </w:tc>
        <w:tc>
          <w:tcPr>
            <w:tcW w:type="dxa" w:w="6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Implements and maintains technical controls on FCI systems including endpoint configuration, patching, malware protection, and access control enforcement.</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All FCI Personnel</w:t>
            </w:r>
          </w:p>
        </w:tc>
        <w:tc>
          <w:tcPr>
            <w:tcW w:type="dxa" w:w="6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Complete required training annually. Handle FCI only on authorized systems. Report suspected incidents immediately to the IS Security Manager.</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HR / People Operations</w:t>
            </w:r>
          </w:p>
        </w:tc>
        <w:tc>
          <w:tcPr>
            <w:tcW w:type="dxa" w:w="6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Ensure background checks are completed for all FCI personnel. Notify IS Security Manager within 24 hours of employee separation for access revocation.</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Management</w:t>
            </w:r>
          </w:p>
        </w:tc>
        <w:tc>
          <w:tcPr>
            <w:tcW w:type="dxa" w:w="6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Ensure personnel under their supervision complete required training and comply with this policy.</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6. Acceptable Use of FCI Systems</w:t>
      </w:r>
    </w:p>
    <w:p>
      <w:pPr>
        <w:spacing w:after="80" w:before="80"/>
      </w:pPr>
      <w:r>
        <w:rPr>
          <w:rFonts w:ascii="Arial" w:cs="Arial" w:eastAsia="Arial" w:hAnsi="Arial"/>
          <w:b w:val="false"/>
          <w:bCs w:val="false"/>
          <w:sz w:val="20"/>
          <w:szCs w:val="20"/>
        </w:rPr>
        <w:t xml:space="preserve">FCI systems are provided for business purposes related to the performance of federal contracts. The following uses are strictly prohibited:</w:t>
      </w:r>
    </w:p>
    <w:p>
      <w:pPr>
        <w:pStyle w:val="ListParagraph"/>
        <w:numPr>
          <w:ilvl w:val="0"/>
          <w:numId w:val="2"/>
        </w:numPr>
        <w:spacing w:after="40" w:before="40"/>
      </w:pPr>
      <w:r>
        <w:rPr>
          <w:rFonts w:ascii="Arial" w:cs="Arial" w:eastAsia="Arial" w:hAnsi="Arial"/>
          <w:sz w:val="20"/>
          <w:szCs w:val="20"/>
        </w:rPr>
        <w:t xml:space="preserve">Accessing, storing, or transmitting FCI on personal devices or unauthorized systems</w:t>
      </w:r>
    </w:p>
    <w:p>
      <w:pPr>
        <w:pStyle w:val="ListParagraph"/>
        <w:numPr>
          <w:ilvl w:val="0"/>
          <w:numId w:val="2"/>
        </w:numPr>
        <w:spacing w:after="40" w:before="40"/>
      </w:pPr>
      <w:r>
        <w:rPr>
          <w:rFonts w:ascii="Arial" w:cs="Arial" w:eastAsia="Arial" w:hAnsi="Arial"/>
          <w:sz w:val="20"/>
          <w:szCs w:val="20"/>
        </w:rPr>
        <w:t xml:space="preserve">Sharing FCI with unauthorized individuals, including other employees without a need to know</w:t>
      </w:r>
    </w:p>
    <w:p>
      <w:pPr>
        <w:pStyle w:val="ListParagraph"/>
        <w:numPr>
          <w:ilvl w:val="0"/>
          <w:numId w:val="2"/>
        </w:numPr>
        <w:spacing w:after="40" w:before="40"/>
      </w:pPr>
      <w:r>
        <w:rPr>
          <w:rFonts w:ascii="Arial" w:cs="Arial" w:eastAsia="Arial" w:hAnsi="Arial"/>
          <w:sz w:val="20"/>
          <w:szCs w:val="20"/>
        </w:rPr>
        <w:t xml:space="preserve">Storing FCI on publicly accessible storage services (personal cloud drives, public file sharing sites)</w:t>
      </w:r>
    </w:p>
    <w:p>
      <w:pPr>
        <w:pStyle w:val="ListParagraph"/>
        <w:numPr>
          <w:ilvl w:val="0"/>
          <w:numId w:val="2"/>
        </w:numPr>
        <w:spacing w:after="40" w:before="40"/>
      </w:pPr>
      <w:r>
        <w:rPr>
          <w:rFonts w:ascii="Arial" w:cs="Arial" w:eastAsia="Arial" w:hAnsi="Arial"/>
          <w:sz w:val="20"/>
          <w:szCs w:val="20"/>
        </w:rPr>
        <w:t xml:space="preserve">Using FCI systems for personal business, entertainment, or illegal activities</w:t>
      </w:r>
    </w:p>
    <w:p>
      <w:pPr>
        <w:pStyle w:val="ListParagraph"/>
        <w:numPr>
          <w:ilvl w:val="0"/>
          <w:numId w:val="2"/>
        </w:numPr>
        <w:spacing w:after="40" w:before="40"/>
      </w:pPr>
      <w:r>
        <w:rPr>
          <w:rFonts w:ascii="Arial" w:cs="Arial" w:eastAsia="Arial" w:hAnsi="Arial"/>
          <w:sz w:val="20"/>
          <w:szCs w:val="20"/>
        </w:rPr>
        <w:t xml:space="preserve">Attempting to circumvent security controls, access unauthorized systems, or escalate privileges</w:t>
      </w:r>
    </w:p>
    <w:p>
      <w:pPr>
        <w:pStyle w:val="ListParagraph"/>
        <w:numPr>
          <w:ilvl w:val="0"/>
          <w:numId w:val="2"/>
        </w:numPr>
        <w:spacing w:after="40" w:before="40"/>
      </w:pPr>
      <w:r>
        <w:rPr>
          <w:rFonts w:ascii="Arial" w:cs="Arial" w:eastAsia="Arial" w:hAnsi="Arial"/>
          <w:sz w:val="20"/>
          <w:szCs w:val="20"/>
        </w:rPr>
        <w:t xml:space="preserve">Using another person's credentials to access FCI systems</w:t>
      </w:r>
    </w:p>
    <w:p>
      <w:pPr>
        <w:pStyle w:val="ListParagraph"/>
        <w:numPr>
          <w:ilvl w:val="0"/>
          <w:numId w:val="2"/>
        </w:numPr>
        <w:spacing w:after="40" w:before="40"/>
      </w:pPr>
      <w:r>
        <w:rPr>
          <w:rFonts w:ascii="Arial" w:cs="Arial" w:eastAsia="Arial" w:hAnsi="Arial"/>
          <w:sz w:val="20"/>
          <w:szCs w:val="20"/>
        </w:rPr>
        <w:t xml:space="preserve">Transmitting FCI via unencrypted email or messaging services unless authorized</w:t>
      </w:r>
    </w:p>
    <w:p>
      <w:pPr>
        <w:spacing w:after="60" w:before="60"/>
      </w:pPr>
      <w:r>
        <w:t xml:space="preserve"/>
      </w:r>
    </w:p>
    <w:p>
      <w:pPr>
        <w:spacing w:after="80" w:before="80"/>
      </w:pPr>
      <w:r>
        <w:rPr>
          <w:rFonts w:ascii="Arial" w:cs="Arial" w:eastAsia="Arial" w:hAnsi="Arial"/>
          <w:b w:val="false"/>
          <w:bCs w:val="false"/>
          <w:sz w:val="20"/>
          <w:szCs w:val="20"/>
        </w:rPr>
        <w:t xml:space="preserve">Personnel must read and sign the Acceptable Use Policy (AUP) upon hire and annually thereafter.</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7. Personnel Security</w:t>
      </w:r>
    </w:p>
    <w:p>
      <w:pPr>
        <w:spacing w:after="80" w:before="80"/>
      </w:pPr>
      <w:r>
        <w:rPr>
          <w:rFonts w:ascii="Arial" w:cs="Arial" w:eastAsia="Arial" w:hAnsi="Arial"/>
          <w:b/>
          <w:bCs/>
          <w:sz w:val="20"/>
          <w:szCs w:val="20"/>
        </w:rPr>
        <w:t xml:space="preserve">Pre-Employment Screening</w:t>
      </w:r>
    </w:p>
    <w:p>
      <w:pPr>
        <w:spacing w:after="80" w:before="80"/>
      </w:pPr>
      <w:r>
        <w:rPr>
          <w:rFonts w:ascii="Arial" w:cs="Arial" w:eastAsia="Arial" w:hAnsi="Arial"/>
          <w:b w:val="false"/>
          <w:bCs w:val="false"/>
          <w:sz w:val="20"/>
          <w:szCs w:val="20"/>
        </w:rPr>
        <w:t xml:space="preserve">All personnel who will have access to FCI undergo a background check prior to being granted access. Background checks include at minimum a criminal history review. The scope of screening is commensurate with the sensitivity of the FCI to be accessed.</w:t>
      </w:r>
    </w:p>
    <w:p>
      <w:pPr>
        <w:spacing w:after="60" w:before="60"/>
      </w:pPr>
      <w:r>
        <w:t xml:space="preserve"/>
      </w:r>
    </w:p>
    <w:p>
      <w:pPr>
        <w:spacing w:after="80" w:before="80"/>
      </w:pPr>
      <w:r>
        <w:rPr>
          <w:rFonts w:ascii="Arial" w:cs="Arial" w:eastAsia="Arial" w:hAnsi="Arial"/>
          <w:b/>
          <w:bCs/>
          <w:sz w:val="20"/>
          <w:szCs w:val="20"/>
        </w:rPr>
        <w:t xml:space="preserve">Access Provisioning and Revocation</w:t>
      </w:r>
    </w:p>
    <w:p>
      <w:pPr>
        <w:spacing w:after="80" w:before="80"/>
      </w:pPr>
      <w:r>
        <w:rPr>
          <w:rFonts w:ascii="Arial" w:cs="Arial" w:eastAsia="Arial" w:hAnsi="Arial"/>
          <w:b w:val="false"/>
          <w:bCs w:val="false"/>
          <w:sz w:val="20"/>
          <w:szCs w:val="20"/>
        </w:rPr>
        <w:t xml:space="preserve">Access to FCI systems is provisioned only after background check completion, onboarding training completion, and AUP signature. When an employee separates, transfers to a non-FCI role, or is terminated, all FCI system access is revoked within 24 hours of notification from HR or management.</w:t>
      </w:r>
    </w:p>
    <w:p>
      <w:pPr>
        <w:spacing w:after="60" w:before="60"/>
      </w:pPr>
      <w:r>
        <w:t xml:space="preserve"/>
      </w:r>
    </w:p>
    <w:p>
      <w:pPr>
        <w:spacing w:after="80" w:before="80"/>
      </w:pPr>
      <w:r>
        <w:rPr>
          <w:rFonts w:ascii="Arial" w:cs="Arial" w:eastAsia="Arial" w:hAnsi="Arial"/>
          <w:b/>
          <w:bCs/>
          <w:sz w:val="20"/>
          <w:szCs w:val="20"/>
        </w:rPr>
        <w:t xml:space="preserve">Periodic Access Review</w:t>
      </w:r>
    </w:p>
    <w:p>
      <w:pPr>
        <w:spacing w:after="80" w:before="80"/>
      </w:pPr>
      <w:r>
        <w:rPr>
          <w:rFonts w:ascii="Arial" w:cs="Arial" w:eastAsia="Arial" w:hAnsi="Arial"/>
          <w:b w:val="false"/>
          <w:bCs w:val="false"/>
          <w:sz w:val="20"/>
          <w:szCs w:val="20"/>
        </w:rPr>
        <w:t xml:space="preserve">The IS Security Manager conducts a formal review of all FCI system user accounts at least semi-annually. Accounts belonging to personnel who no longer require access are promptly disabled or removed. Results are documented in the User Access List.</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8. Incident Reporting and Response</w:t>
      </w:r>
    </w:p>
    <w:p>
      <w:pPr>
        <w:spacing w:after="80" w:before="80"/>
      </w:pPr>
      <w:r>
        <w:rPr>
          <w:rFonts w:ascii="Arial" w:cs="Arial" w:eastAsia="Arial" w:hAnsi="Arial"/>
          <w:b w:val="false"/>
          <w:bCs w:val="false"/>
          <w:sz w:val="20"/>
          <w:szCs w:val="20"/>
        </w:rPr>
        <w:t xml:space="preserve">All personnel are required to report suspected or confirmed security incidents involving FCI immediately upon discovery. Reports should be made to the IS Security Manager via [designated reporting method — phone, email, ticketing system].</w:t>
      </w:r>
    </w:p>
    <w:p>
      <w:pPr>
        <w:spacing w:after="60" w:before="60"/>
      </w:pPr>
      <w:r>
        <w:t xml:space="preserve"/>
      </w:r>
    </w:p>
    <w:p>
      <w:pPr>
        <w:spacing w:after="80" w:before="80"/>
      </w:pPr>
      <w:r>
        <w:rPr>
          <w:rFonts w:ascii="Arial" w:cs="Arial" w:eastAsia="Arial" w:hAnsi="Arial"/>
          <w:b w:val="false"/>
          <w:bCs w:val="false"/>
          <w:sz w:val="20"/>
          <w:szCs w:val="20"/>
        </w:rPr>
        <w:t xml:space="preserve">Reportable incidents include:</w:t>
      </w:r>
    </w:p>
    <w:p>
      <w:pPr>
        <w:pStyle w:val="ListParagraph"/>
        <w:numPr>
          <w:ilvl w:val="0"/>
          <w:numId w:val="2"/>
        </w:numPr>
        <w:spacing w:after="40" w:before="40"/>
      </w:pPr>
      <w:r>
        <w:rPr>
          <w:rFonts w:ascii="Arial" w:cs="Arial" w:eastAsia="Arial" w:hAnsi="Arial"/>
          <w:sz w:val="20"/>
          <w:szCs w:val="20"/>
        </w:rPr>
        <w:t xml:space="preserve">Unauthorized access to FCI systems or data</w:t>
      </w:r>
    </w:p>
    <w:p>
      <w:pPr>
        <w:pStyle w:val="ListParagraph"/>
        <w:numPr>
          <w:ilvl w:val="0"/>
          <w:numId w:val="2"/>
        </w:numPr>
        <w:spacing w:after="40" w:before="40"/>
      </w:pPr>
      <w:r>
        <w:rPr>
          <w:rFonts w:ascii="Arial" w:cs="Arial" w:eastAsia="Arial" w:hAnsi="Arial"/>
          <w:sz w:val="20"/>
          <w:szCs w:val="20"/>
        </w:rPr>
        <w:t xml:space="preserve">Loss or theft of a device that stores or accesses FCI</w:t>
      </w:r>
    </w:p>
    <w:p>
      <w:pPr>
        <w:pStyle w:val="ListParagraph"/>
        <w:numPr>
          <w:ilvl w:val="0"/>
          <w:numId w:val="2"/>
        </w:numPr>
        <w:spacing w:after="40" w:before="40"/>
      </w:pPr>
      <w:r>
        <w:rPr>
          <w:rFonts w:ascii="Arial" w:cs="Arial" w:eastAsia="Arial" w:hAnsi="Arial"/>
          <w:sz w:val="20"/>
          <w:szCs w:val="20"/>
        </w:rPr>
        <w:t xml:space="preserve">Malware infection on a system that accesses FCI</w:t>
      </w:r>
    </w:p>
    <w:p>
      <w:pPr>
        <w:pStyle w:val="ListParagraph"/>
        <w:numPr>
          <w:ilvl w:val="0"/>
          <w:numId w:val="2"/>
        </w:numPr>
        <w:spacing w:after="40" w:before="40"/>
      </w:pPr>
      <w:r>
        <w:rPr>
          <w:rFonts w:ascii="Arial" w:cs="Arial" w:eastAsia="Arial" w:hAnsi="Arial"/>
          <w:sz w:val="20"/>
          <w:szCs w:val="20"/>
        </w:rPr>
        <w:t xml:space="preserve">Phishing attack where credentials may have been compromised</w:t>
      </w:r>
    </w:p>
    <w:p>
      <w:pPr>
        <w:pStyle w:val="ListParagraph"/>
        <w:numPr>
          <w:ilvl w:val="0"/>
          <w:numId w:val="2"/>
        </w:numPr>
        <w:spacing w:after="40" w:before="40"/>
      </w:pPr>
      <w:r>
        <w:rPr>
          <w:rFonts w:ascii="Arial" w:cs="Arial" w:eastAsia="Arial" w:hAnsi="Arial"/>
          <w:sz w:val="20"/>
          <w:szCs w:val="20"/>
        </w:rPr>
        <w:t xml:space="preserve">Accidental disclosure of FCI to an unauthorized party</w:t>
      </w:r>
    </w:p>
    <w:p>
      <w:pPr>
        <w:pStyle w:val="ListParagraph"/>
        <w:numPr>
          <w:ilvl w:val="0"/>
          <w:numId w:val="2"/>
        </w:numPr>
        <w:spacing w:after="40" w:before="40"/>
      </w:pPr>
      <w:r>
        <w:rPr>
          <w:rFonts w:ascii="Arial" w:cs="Arial" w:eastAsia="Arial" w:hAnsi="Arial"/>
          <w:sz w:val="20"/>
          <w:szCs w:val="20"/>
        </w:rPr>
        <w:t xml:space="preserve">Suspected data breach or exfiltration</w:t>
      </w:r>
    </w:p>
    <w:p>
      <w:pPr>
        <w:spacing w:after="60" w:before="60"/>
      </w:pPr>
      <w:r>
        <w:t xml:space="preserve"/>
      </w:r>
    </w:p>
    <w:p>
      <w:pPr>
        <w:spacing w:after="80" w:before="80"/>
      </w:pPr>
      <w:r>
        <w:rPr>
          <w:rFonts w:ascii="Arial" w:cs="Arial" w:eastAsia="Arial" w:hAnsi="Arial"/>
          <w:b w:val="false"/>
          <w:bCs w:val="false"/>
          <w:sz w:val="20"/>
          <w:szCs w:val="20"/>
        </w:rPr>
        <w:t xml:space="preserve">[Company Name] is required under FAR 52.204-21 and related contract terms to report cyber incidents to the government within 72 hours of discovery. The IS Security Manager is responsible for making this determination and executing the notification. All incidents are documented in the Security Incident Log.</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9. Third-Party and Cloud Service Providers</w:t>
      </w:r>
    </w:p>
    <w:p>
      <w:pPr>
        <w:spacing w:after="80" w:before="80"/>
      </w:pPr>
      <w:r>
        <w:rPr>
          <w:rFonts w:ascii="Arial" w:cs="Arial" w:eastAsia="Arial" w:hAnsi="Arial"/>
          <w:b w:val="false"/>
          <w:bCs w:val="false"/>
          <w:sz w:val="20"/>
          <w:szCs w:val="20"/>
        </w:rPr>
        <w:t xml:space="preserve">When [Company Name] uses external service providers (ESPs) or cloud services that store, process, or transmit FCI, those providers must provide adequate security protections equivalent to or greater than the requirements of this policy.</w:t>
      </w:r>
    </w:p>
    <w:p>
      <w:pPr>
        <w:spacing w:after="60" w:before="60"/>
      </w:pPr>
      <w:r>
        <w:t xml:space="preserve"/>
      </w:r>
    </w:p>
    <w:p>
      <w:pPr>
        <w:spacing w:after="80" w:before="80"/>
      </w:pPr>
      <w:r>
        <w:rPr>
          <w:rFonts w:ascii="Arial" w:cs="Arial" w:eastAsia="Arial" w:hAnsi="Arial"/>
          <w:b w:val="false"/>
          <w:bCs w:val="false"/>
          <w:sz w:val="20"/>
          <w:szCs w:val="20"/>
        </w:rPr>
        <w:t xml:space="preserve">Prior to engaging any new third-party service with access to FCI, the IS Security Manager must:</w:t>
      </w:r>
    </w:p>
    <w:p>
      <w:pPr>
        <w:pStyle w:val="ListParagraph"/>
        <w:numPr>
          <w:ilvl w:val="0"/>
          <w:numId w:val="2"/>
        </w:numPr>
        <w:spacing w:after="40" w:before="40"/>
      </w:pPr>
      <w:r>
        <w:rPr>
          <w:rFonts w:ascii="Arial" w:cs="Arial" w:eastAsia="Arial" w:hAnsi="Arial"/>
          <w:sz w:val="20"/>
          <w:szCs w:val="20"/>
        </w:rPr>
        <w:t xml:space="preserve">Confirm the provider's security posture (SOC 2, FedRAMP authorization, or equivalent)</w:t>
      </w:r>
    </w:p>
    <w:p>
      <w:pPr>
        <w:pStyle w:val="ListParagraph"/>
        <w:numPr>
          <w:ilvl w:val="0"/>
          <w:numId w:val="2"/>
        </w:numPr>
        <w:spacing w:after="40" w:before="40"/>
      </w:pPr>
      <w:r>
        <w:rPr>
          <w:rFonts w:ascii="Arial" w:cs="Arial" w:eastAsia="Arial" w:hAnsi="Arial"/>
          <w:sz w:val="20"/>
          <w:szCs w:val="20"/>
        </w:rPr>
        <w:t xml:space="preserve">Execute a Data Processing Agreement or equivalent contract clause that flows down FCI protection obligations</w:t>
      </w:r>
    </w:p>
    <w:p>
      <w:pPr>
        <w:pStyle w:val="ListParagraph"/>
        <w:numPr>
          <w:ilvl w:val="0"/>
          <w:numId w:val="2"/>
        </w:numPr>
        <w:spacing w:after="40" w:before="40"/>
      </w:pPr>
      <w:r>
        <w:rPr>
          <w:rFonts w:ascii="Arial" w:cs="Arial" w:eastAsia="Arial" w:hAnsi="Arial"/>
          <w:sz w:val="20"/>
          <w:szCs w:val="20"/>
        </w:rPr>
        <w:t xml:space="preserve">Document the provider in the Company's vendor/ESP list</w:t>
      </w:r>
    </w:p>
    <w:p>
      <w:pPr>
        <w:spacing w:after="60" w:before="60"/>
      </w:pPr>
      <w:r>
        <w:t xml:space="preserve"/>
      </w:r>
    </w:p>
    <w:p>
      <w:pPr>
        <w:spacing w:after="80" w:before="80"/>
      </w:pPr>
      <w:r>
        <w:rPr>
          <w:rFonts w:ascii="Arial" w:cs="Arial" w:eastAsia="Arial" w:hAnsi="Arial"/>
          <w:b w:val="false"/>
          <w:bCs w:val="false"/>
          <w:sz w:val="20"/>
          <w:szCs w:val="20"/>
        </w:rPr>
        <w:t xml:space="preserve">Annual review of all active ESPs is required to confirm continued compliance.</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10. Policy Enforcement and Non-Compliance</w:t>
      </w:r>
    </w:p>
    <w:p>
      <w:pPr>
        <w:spacing w:after="80" w:before="80"/>
      </w:pPr>
      <w:r>
        <w:rPr>
          <w:rFonts w:ascii="Arial" w:cs="Arial" w:eastAsia="Arial" w:hAnsi="Arial"/>
          <w:b w:val="false"/>
          <w:bCs w:val="false"/>
          <w:sz w:val="20"/>
          <w:szCs w:val="20"/>
        </w:rPr>
        <w:t xml:space="preserve">Compliance with this policy is mandatory for all personnel within scope. Violations of this policy may result in disciplinary action up to and including termination of employment or contract, and may expose [Company Name] and the individual to civil or criminal liability under applicable federal law.</w:t>
      </w:r>
    </w:p>
    <w:p>
      <w:pPr>
        <w:spacing w:after="60" w:before="60"/>
      </w:pPr>
      <w:r>
        <w:t xml:space="preserve"/>
      </w:r>
    </w:p>
    <w:p>
      <w:pPr>
        <w:spacing w:after="80" w:before="80"/>
      </w:pPr>
      <w:r>
        <w:rPr>
          <w:rFonts w:ascii="Arial" w:cs="Arial" w:eastAsia="Arial" w:hAnsi="Arial"/>
          <w:b w:val="false"/>
          <w:bCs w:val="false"/>
          <w:sz w:val="20"/>
          <w:szCs w:val="20"/>
        </w:rPr>
        <w:t xml:space="preserve">The IS Security Manager is responsible for investigating alleged policy violations and recommending corrective action in coordination with Human Resources and senior management.</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11. Review and Approval</w:t>
      </w:r>
    </w:p>
    <w:p>
      <w:pPr>
        <w:spacing w:after="80" w:before="80"/>
      </w:pPr>
      <w:r>
        <w:rPr>
          <w:rFonts w:ascii="Arial" w:cs="Arial" w:eastAsia="Arial" w:hAnsi="Arial"/>
          <w:b w:val="false"/>
          <w:bCs w:val="false"/>
          <w:sz w:val="20"/>
          <w:szCs w:val="20"/>
        </w:rPr>
        <w:t xml:space="preserve">This policy is reviewed annually and updated as necessary to reflect changes in regulations, organizational structure, technology, or risk posture. The IS Security Manager initiates the annual review no later than 30 days before the policy's expiration date.</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Role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Name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Signature / Date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IS Security Manager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Executive Sponsor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IT Provider Lead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___________________</w:t>
            </w:r>
          </w:p>
        </w:tc>
      </w:tr>
    </w:tbl>
    <w:p>
      <w:pPr>
        <w:spacing w:after="60" w:before="60"/>
      </w:pPr>
      <w:r>
        <w:t xml:space="preserve"/>
      </w:r>
    </w:p>
    <w:p>
      <w:r>
        <w:br/>
      </w:r>
    </w:p>
    <w:p>
      <w:pPr>
        <w:pStyle w:val="Heading1"/>
        <w:spacing w:after="120" w:before="280"/>
      </w:pPr>
      <w:r>
        <w:rPr>
          <w:rFonts w:ascii="Arial" w:cs="Arial" w:eastAsia="Arial" w:hAnsi="Arial"/>
          <w:b/>
          <w:bCs/>
          <w:color w:val="1F4E79"/>
          <w:sz w:val="28"/>
          <w:szCs w:val="28"/>
        </w:rPr>
        <w:t xml:space="preserve">Appendix A: CMMC Level 1 Control Mapping</w:t>
      </w:r>
    </w:p>
    <w:p>
      <w:pPr>
        <w:spacing w:after="80" w:before="80"/>
      </w:pPr>
      <w:r>
        <w:rPr>
          <w:rFonts w:ascii="Arial" w:cs="Arial" w:eastAsia="Arial" w:hAnsi="Arial"/>
          <w:b w:val="false"/>
          <w:bCs w:val="false"/>
          <w:sz w:val="20"/>
          <w:szCs w:val="20"/>
        </w:rPr>
        <w:t xml:space="preserve">The following table maps each of the 17 CMMC Level 1 practices to the policy section that implements it.</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1440"/>
        <w:gridCol w:w="3240"/>
        <w:gridCol w:w="324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CMMC Practice</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FAR 52.204-21</w:t>
            </w:r>
          </w:p>
        </w:tc>
        <w:tc>
          <w:tcPr>
            <w:tcW w:type="dxa" w:w="32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Requirement</w:t>
            </w:r>
          </w:p>
        </w:tc>
        <w:tc>
          <w:tcPr>
            <w:tcW w:type="dxa" w:w="32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vAlign w:val="top"/>
          </w:tcPr>
          <w:p>
            <w:r>
              <w:rPr>
                <w:rFonts w:ascii="Arial" w:cs="Arial" w:eastAsia="Arial" w:hAnsi="Arial"/>
                <w:b/>
                <w:bCs/>
                <w:color w:val="FFFFFF"/>
                <w:sz w:val="20"/>
                <w:szCs w:val="20"/>
              </w:rPr>
              <w:t xml:space="preserve">Policy Section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3.1.1</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Limit access to authorized users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4.1.1</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3.1.2</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b(1)(ii)</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Limit access to authorized transactions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4.1.2</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3.1.21</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b(1)(vi)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Control portable storage devices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4.1.3</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3.1.22</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b(1)(vii)</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Control FCI on public systems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4.1.4</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3.5.1</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b(1)(iii)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Identify information system users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4.2.1</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3.5.2</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b(1)(iv)</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Authenticate users and devices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4.2.2</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3.8.3</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b(1)(viii)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Sanitize or destroy media</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4.3</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3.10.1</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b(1)(ix)</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Limit physical access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4.4.1</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3.10.3</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Escort visitors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4.4.2</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3.13.1</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b(1)(xi)</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Monitor and control communications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4.5.1</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3.13.5</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b(1)(xii)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Implement subnetworks for public components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4.5.2</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3.14.1</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b(1)(xiii)</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Identify and correct system flaws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4.6.1</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3.14.2</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b(1)(xiv)</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Provide protection from malicious code</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4.6.2</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3.14.4</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b(1)(xv)</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Update malicious code protection</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4.6.3</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3.14.5</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b(1)(xvi)</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Perform periodic scans</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4.6.4</w:t>
            </w:r>
          </w:p>
        </w:tc>
      </w:tr>
      <w:tr>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3.2.1</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b(1)(v)</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Ensure personnel awareness</w:t>
            </w:r>
          </w:p>
        </w:tc>
        <w:tc>
          <w:tcPr>
            <w:tcW w:type="dxa" w:w="3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4.7.1</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3.2.2</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b(1)(v)</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Ensure personnel training</w:t>
            </w:r>
          </w:p>
        </w:tc>
        <w:tc>
          <w:tcPr>
            <w:tcW w:type="dxa" w:w="3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top"/>
          </w:tcPr>
          <w:p>
            <w:pPr>
              <w:jc w:val="left"/>
            </w:pPr>
            <w:r>
              <w:rPr>
                <w:rFonts w:ascii="Arial" w:cs="Arial" w:eastAsia="Arial" w:hAnsi="Arial"/>
                <w:b w:val="false"/>
                <w:bCs w:val="false"/>
                <w:sz w:val="20"/>
                <w:szCs w:val="20"/>
              </w:rPr>
              <w:t xml:space="preserve">Section 4.7.2</w:t>
            </w:r>
          </w:p>
        </w:tc>
      </w:tr>
    </w:tbl>
    <w:p>
      <w:pPr>
        <w:spacing w:after="60" w:before="6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4E79" w:sz="4" w:space="4"/>
      </w:pBdr>
      <w:tabs>
        <w:tab w:val="right" w:pos="9026"/>
      </w:tabs>
    </w:pPr>
    <w:r>
      <w:rPr>
        <w:rFonts w:ascii="Arial" w:cs="Arial" w:eastAsia="Arial" w:hAnsi="Arial"/>
        <w:color w:val="595959"/>
        <w:sz w:val="16"/>
        <w:szCs w:val="16"/>
      </w:rPr>
      <w:t xml:space="preserve">Internal Use Only — CMMC Level 1 Compliance</w:t>
    </w:r>
    <w:r>
      <w:rPr>
        <w:rFonts w:ascii="Arial" w:cs="Arial" w:eastAsia="Arial" w:hAnsi="Arial"/>
        <w:color w:val="595959"/>
        <w:sz w:val="16"/>
        <w:szCs w:val="16"/>
      </w:rPr>
      <w:t xml:space="preserve">	Page </w:t>
    </w:r>
    <w:r>
      <w:rPr>
        <w:rFonts w:ascii="Arial" w:cs="Arial" w:eastAsia="Arial" w:hAnsi="Arial"/>
        <w:color w:val="59595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4" w:space="4"/>
      </w:pBdr>
      <w:tabs>
        <w:tab w:val="right" w:pos="9026"/>
      </w:tabs>
    </w:pPr>
    <w:r>
      <w:rPr>
        <w:rFonts w:ascii="Arial" w:cs="Arial" w:eastAsia="Arial" w:hAnsi="Arial"/>
        <w:color w:val="595959"/>
        <w:sz w:val="18"/>
        <w:szCs w:val="18"/>
      </w:rPr>
      <w:t xml:space="preserve">[Company Name] — FCI Security Policy</w:t>
    </w:r>
    <w:r>
      <w:rPr>
        <w:rFonts w:ascii="Arial" w:cs="Arial" w:eastAsia="Arial" w:hAnsi="Arial"/>
        <w:color w:val="595959"/>
        <w:sz w:val="18"/>
        <w:szCs w:val="18"/>
      </w:rPr>
      <w:t xml:space="preserve">	[COMPANY]-FCI-POL-001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40" w:before="40"/>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4E79" w:sz="4" w:space="4"/>
      </w:pBdr>
      <w:spacing w:after="120" w:before="280"/>
      <w:outlineLvl w:val="0"/>
    </w:pPr>
    <w:rPr>
      <w:rFonts w:ascii="Arial" w:cs="Arial" w:eastAsia="Arial" w:hAnsi="Arial"/>
      <w:b/>
      <w:bCs/>
      <w:color w:val="1F4E79"/>
      <w:sz w:val="28"/>
      <w:szCs w:val="28"/>
    </w:rPr>
  </w:style>
  <w:style w:type="paragraph" w:styleId="Heading2">
    <w:name w:val="Heading 2"/>
    <w:basedOn w:val="Normal"/>
    <w:next w:val="Normal"/>
    <w:qFormat/>
    <w:pPr>
      <w:spacing w:after="80" w:before="200"/>
      <w:outlineLvl w:val="1"/>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2026-05-12T15:08:27.140Z</dcterms:created>
  <dcterms:modified xsi:type="dcterms:W3CDTF">2026-05-12T15:08:27.140Z</dcterms:modified>
</cp:coreProperties>
</file>

<file path=docProps/custom.xml><?xml version="1.0" encoding="utf-8"?>
<Properties xmlns="http://schemas.openxmlformats.org/officeDocument/2006/custom-properties" xmlns:vt="http://schemas.openxmlformats.org/officeDocument/2006/docPropsVTypes"/>
</file>